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E97CDA">
        <w:tc>
          <w:tcPr>
            <w:tcW w:w="7399" w:type="dxa"/>
            <w:tcBorders>
              <w:bottom w:val="single" w:sz="24" w:space="0" w:color="003876"/>
            </w:tcBorders>
          </w:tcPr>
          <w:p w:rsidR="00E97CDA" w:rsidRDefault="00F56B84" w:rsidP="007F31E9">
            <w:pPr>
              <w:pStyle w:val="Confidential"/>
              <w:framePr w:hSpace="0" w:wrap="auto" w:vAnchor="margin" w:hAnchor="text" w:xAlign="left" w:yAlign="inline"/>
              <w:suppressOverlap w:val="0"/>
            </w:pPr>
            <w:r>
              <w:fldChar w:fldCharType="begin">
                <w:ffData>
                  <w:name w:val=""/>
                  <w:enabled/>
                  <w:calcOnExit w:val="0"/>
                  <w:textInput>
                    <w:default w:val="confidential"/>
                  </w:textInput>
                </w:ffData>
              </w:fldChar>
            </w:r>
            <w:r>
              <w:instrText xml:space="preserve"> FORMTEXT </w:instrText>
            </w:r>
            <w:r>
              <w:fldChar w:fldCharType="separate"/>
            </w:r>
            <w:r w:rsidR="00025EA7">
              <w:rPr>
                <w:noProof/>
              </w:rPr>
              <w:t>confidential</w:t>
            </w:r>
            <w:r>
              <w:fldChar w:fldCharType="end"/>
            </w:r>
          </w:p>
        </w:tc>
      </w:tr>
      <w:tr w:rsidR="00E97CDA">
        <w:tc>
          <w:tcPr>
            <w:tcW w:w="7399" w:type="dxa"/>
            <w:tcBorders>
              <w:top w:val="single" w:sz="24" w:space="0" w:color="003876"/>
            </w:tcBorders>
          </w:tcPr>
          <w:p w:rsidR="00E97CDA" w:rsidRDefault="004F0C19" w:rsidP="007F31E9">
            <w:pPr>
              <w:pStyle w:val="DocType"/>
              <w:framePr w:hSpace="0" w:wrap="auto" w:vAnchor="margin" w:hAnchor="text" w:xAlign="left" w:yAlign="inline"/>
              <w:suppressOverlap w:val="0"/>
            </w:pPr>
            <w:r>
              <w:t>Report</w:t>
            </w:r>
          </w:p>
        </w:tc>
      </w:tr>
      <w:tr w:rsidR="00E97CDA">
        <w:trPr>
          <w:trHeight w:val="1134"/>
        </w:trPr>
        <w:tc>
          <w:tcPr>
            <w:tcW w:w="7399" w:type="dxa"/>
          </w:tcPr>
          <w:p w:rsidR="00E97CDA" w:rsidRDefault="004F0C19" w:rsidP="004244FB">
            <w:pPr>
              <w:pStyle w:val="DocTitle"/>
            </w:pPr>
            <w:r>
              <w:t>PTE area bus operator profitability analysis</w:t>
            </w:r>
          </w:p>
        </w:tc>
      </w:tr>
      <w:tr w:rsidR="00E97CDA">
        <w:tc>
          <w:tcPr>
            <w:tcW w:w="7399" w:type="dxa"/>
          </w:tcPr>
          <w:p w:rsidR="00E97CDA" w:rsidRDefault="00E97CDA" w:rsidP="007F31E9">
            <w:pPr>
              <w:pStyle w:val="DocSubTitle"/>
            </w:pPr>
            <w:bookmarkStart w:id="0" w:name="_GoBack"/>
            <w:bookmarkEnd w:id="0"/>
          </w:p>
        </w:tc>
      </w:tr>
      <w:tr w:rsidR="00E97CDA">
        <w:tc>
          <w:tcPr>
            <w:tcW w:w="7399" w:type="dxa"/>
            <w:tcBorders>
              <w:bottom w:val="single" w:sz="24" w:space="0" w:color="003876"/>
            </w:tcBorders>
          </w:tcPr>
          <w:p w:rsidR="00E97CDA" w:rsidRDefault="00E97CDA" w:rsidP="007F31E9">
            <w:pPr>
              <w:pStyle w:val="Date"/>
            </w:pPr>
            <w:r>
              <w:fldChar w:fldCharType="begin">
                <w:ffData>
                  <w:name w:val=""/>
                  <w:enabled w:val="0"/>
                  <w:calcOnExit w:val="0"/>
                  <w:textInput>
                    <w:type w:val="currentTime"/>
                  </w:textInput>
                </w:ffData>
              </w:fldChar>
            </w:r>
            <w:r>
              <w:instrText xml:space="preserve"> FORMTEXT </w:instrText>
            </w:r>
            <w:r>
              <w:fldChar w:fldCharType="begin"/>
            </w:r>
            <w:r>
              <w:instrText xml:space="preserve"> DATE \@ "MMMM yyyy" </w:instrText>
            </w:r>
            <w:r>
              <w:fldChar w:fldCharType="separate"/>
            </w:r>
            <w:r w:rsidR="004F0C19">
              <w:rPr>
                <w:noProof/>
              </w:rPr>
              <w:instrText>October 2014</w:instrText>
            </w:r>
            <w:r>
              <w:fldChar w:fldCharType="end"/>
            </w:r>
            <w:r>
              <w:fldChar w:fldCharType="separate"/>
            </w:r>
            <w:r w:rsidR="004F0C19">
              <w:rPr>
                <w:noProof/>
              </w:rPr>
              <w:t>October 2014</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E97CDA">
        <w:trPr>
          <w:trHeight w:val="680"/>
        </w:trPr>
        <w:tc>
          <w:tcPr>
            <w:tcW w:w="4253" w:type="dxa"/>
          </w:tcPr>
          <w:p w:rsidR="00E97CDA" w:rsidRDefault="004F0C19" w:rsidP="00E97CDA">
            <w:pPr>
              <w:pStyle w:val="ContactName"/>
              <w:framePr w:hSpace="0" w:wrap="auto" w:vAnchor="margin" w:hAnchor="text" w:xAlign="left" w:yAlign="inline"/>
              <w:suppressOverlap w:val="0"/>
            </w:pPr>
            <w:r>
              <w:t xml:space="preserve">Pedro Abrantes and Tom </w:t>
            </w:r>
            <w:proofErr w:type="spellStart"/>
            <w:r>
              <w:t>Ellerton</w:t>
            </w:r>
            <w:proofErr w:type="spellEnd"/>
          </w:p>
        </w:tc>
      </w:tr>
      <w:tr w:rsidR="00E97CDA">
        <w:tc>
          <w:tcPr>
            <w:tcW w:w="4253" w:type="dxa"/>
          </w:tcPr>
          <w:p w:rsidR="00E97CDA" w:rsidRDefault="00900C27" w:rsidP="00E97CDA">
            <w:pPr>
              <w:pStyle w:val="Address"/>
              <w:framePr w:hSpace="0" w:wrap="auto" w:vAnchor="margin" w:hAnchor="text" w:xAlign="left" w:yAlign="inline"/>
              <w:suppressOverlap w:val="0"/>
            </w:pPr>
            <w:proofErr w:type="spellStart"/>
            <w:r>
              <w:rPr>
                <w:rFonts w:ascii="Arial Black" w:hAnsi="Arial Black"/>
                <w:i/>
                <w:color w:val="F7931E"/>
              </w:rPr>
              <w:t>p</w:t>
            </w:r>
            <w:r w:rsidR="00E97CDA" w:rsidRPr="00711B20">
              <w:rPr>
                <w:rFonts w:ascii="Arial Black" w:hAnsi="Arial Black"/>
                <w:i/>
                <w:color w:val="F7931E"/>
              </w:rPr>
              <w:t>teg</w:t>
            </w:r>
            <w:proofErr w:type="spellEnd"/>
            <w:r w:rsidR="00E97CDA" w:rsidRPr="00711B20">
              <w:rPr>
                <w:i/>
                <w:color w:val="F7931E"/>
              </w:rPr>
              <w:t xml:space="preserve"> </w:t>
            </w:r>
            <w:r w:rsidR="00E97CDA">
              <w:t>Support Unit</w:t>
            </w:r>
          </w:p>
          <w:p w:rsidR="00E97CDA" w:rsidRDefault="00E97CDA" w:rsidP="00E97CDA">
            <w:pPr>
              <w:pStyle w:val="Address"/>
              <w:framePr w:hSpace="0" w:wrap="auto" w:vAnchor="margin" w:hAnchor="text" w:xAlign="left" w:yAlign="inline"/>
              <w:suppressOverlap w:val="0"/>
            </w:pPr>
            <w:r>
              <w:t>Wellington House</w:t>
            </w:r>
          </w:p>
          <w:p w:rsidR="00E97CDA" w:rsidRDefault="00E97CDA" w:rsidP="00E97CDA">
            <w:pPr>
              <w:pStyle w:val="Address"/>
              <w:framePr w:hSpace="0" w:wrap="auto" w:vAnchor="margin" w:hAnchor="text" w:xAlign="left" w:yAlign="inline"/>
              <w:suppressOverlap w:val="0"/>
            </w:pPr>
            <w:r>
              <w:t>40-50 Wellington Street</w:t>
            </w:r>
          </w:p>
          <w:p w:rsidR="00E97CDA" w:rsidRDefault="00E97CDA" w:rsidP="00E97CDA">
            <w:pPr>
              <w:pStyle w:val="Address"/>
              <w:framePr w:hSpace="0" w:wrap="auto" w:vAnchor="margin" w:hAnchor="text" w:xAlign="left" w:yAlign="inline"/>
              <w:suppressOverlap w:val="0"/>
            </w:pPr>
            <w:r>
              <w:t>Leeds – LS1 2DE</w:t>
            </w:r>
          </w:p>
          <w:p w:rsidR="00E97CDA" w:rsidRDefault="00E97CDA" w:rsidP="00E97CDA">
            <w:pPr>
              <w:pStyle w:val="Address"/>
              <w:framePr w:hSpace="0" w:wrap="auto" w:vAnchor="margin" w:hAnchor="text" w:xAlign="left" w:yAlign="inline"/>
              <w:suppressOverlap w:val="0"/>
            </w:pPr>
            <w:r>
              <w:t>0113 251 7445</w:t>
            </w:r>
          </w:p>
          <w:p w:rsidR="00E97CDA" w:rsidRDefault="00E97CDA" w:rsidP="00E97CDA">
            <w:pPr>
              <w:pStyle w:val="Address"/>
              <w:framePr w:hSpace="0" w:wrap="auto" w:vAnchor="margin" w:hAnchor="text" w:xAlign="left" w:yAlign="inline"/>
              <w:suppressOverlap w:val="0"/>
            </w:pPr>
            <w:r>
              <w:t>info@pteg.net</w:t>
            </w:r>
          </w:p>
        </w:tc>
      </w:tr>
    </w:tbl>
    <w:p w:rsidR="00E97CDA" w:rsidRDefault="00E97CDA" w:rsidP="00E97CDA">
      <w:pPr>
        <w:pStyle w:val="BaseStyle"/>
        <w:sectPr w:rsidR="00E97CDA" w:rsidSect="00E97CDA">
          <w:headerReference w:type="even" r:id="rId8"/>
          <w:headerReference w:type="default" r:id="rId9"/>
          <w:footerReference w:type="even" r:id="rId10"/>
          <w:footerReference w:type="default" r:id="rId11"/>
          <w:headerReference w:type="first" r:id="rId12"/>
          <w:footerReference w:type="first" r:id="rId13"/>
          <w:pgSz w:w="11906" w:h="16838"/>
          <w:pgMar w:top="2268" w:right="1134" w:bottom="851" w:left="1418" w:header="709" w:footer="709" w:gutter="0"/>
          <w:cols w:space="708"/>
          <w:docGrid w:linePitch="360"/>
        </w:sectPr>
      </w:pPr>
    </w:p>
    <w:p w:rsidR="00E97CDA" w:rsidRDefault="00E97CDA" w:rsidP="00E97CDA">
      <w:pPr>
        <w:pStyle w:val="SectionHeadingNonToc"/>
      </w:pPr>
      <w:r>
        <w:lastRenderedPageBreak/>
        <w:t>Content</w:t>
      </w:r>
    </w:p>
    <w:tbl>
      <w:tblPr>
        <w:tblW w:w="5000" w:type="pct"/>
        <w:tblLook w:val="04A0" w:firstRow="1" w:lastRow="0" w:firstColumn="1" w:lastColumn="0" w:noHBand="0" w:noVBand="1"/>
      </w:tblPr>
      <w:tblGrid>
        <w:gridCol w:w="9287"/>
      </w:tblGrid>
      <w:tr w:rsidR="00E97CDA" w:rsidRPr="00EC6116">
        <w:tc>
          <w:tcPr>
            <w:tcW w:w="5000" w:type="pct"/>
          </w:tcPr>
          <w:p w:rsidR="002F48D8" w:rsidRDefault="00E023D8">
            <w:pPr>
              <w:pStyle w:val="TOC1"/>
              <w:rPr>
                <w:rFonts w:asciiTheme="minorHAnsi" w:eastAsiaTheme="minorEastAsia" w:hAnsiTheme="minorHAnsi" w:cstheme="minorBidi"/>
                <w:b w:val="0"/>
                <w:noProof/>
                <w:color w:val="auto"/>
                <w:lang w:eastAsia="en-GB"/>
              </w:rPr>
            </w:pPr>
            <w:r>
              <w:rPr>
                <w:b w:val="0"/>
              </w:rPr>
              <w:fldChar w:fldCharType="begin"/>
            </w:r>
            <w:r>
              <w:rPr>
                <w:b w:val="0"/>
              </w:rPr>
              <w:instrText xml:space="preserve"> TOC \o "1-1" \t "Heading 2,2,~AppHeading1,5,~AppendixDivider,4" </w:instrText>
            </w:r>
            <w:r>
              <w:rPr>
                <w:b w:val="0"/>
              </w:rPr>
              <w:fldChar w:fldCharType="separate"/>
            </w:r>
            <w:r w:rsidR="002F48D8" w:rsidRPr="007715B7">
              <w:rPr>
                <w:rFonts w:ascii="Arial Bold" w:hAnsi="Arial Bold"/>
                <w:noProof/>
                <w:color w:val="F7931E"/>
              </w:rPr>
              <w:t>1.</w:t>
            </w:r>
            <w:r w:rsidR="002F48D8">
              <w:rPr>
                <w:rFonts w:asciiTheme="minorHAnsi" w:eastAsiaTheme="minorEastAsia" w:hAnsiTheme="minorHAnsi" w:cstheme="minorBidi"/>
                <w:b w:val="0"/>
                <w:noProof/>
                <w:color w:val="auto"/>
                <w:lang w:eastAsia="en-GB"/>
              </w:rPr>
              <w:tab/>
            </w:r>
            <w:r w:rsidR="002F48D8">
              <w:rPr>
                <w:noProof/>
              </w:rPr>
              <w:t>Introduction</w:t>
            </w:r>
            <w:r w:rsidR="002F48D8">
              <w:rPr>
                <w:noProof/>
              </w:rPr>
              <w:tab/>
            </w:r>
            <w:r w:rsidR="002F48D8">
              <w:rPr>
                <w:noProof/>
              </w:rPr>
              <w:fldChar w:fldCharType="begin"/>
            </w:r>
            <w:r w:rsidR="002F48D8">
              <w:rPr>
                <w:noProof/>
              </w:rPr>
              <w:instrText xml:space="preserve"> PAGEREF _Toc400707000 \h </w:instrText>
            </w:r>
            <w:r w:rsidR="002F48D8">
              <w:rPr>
                <w:noProof/>
              </w:rPr>
            </w:r>
            <w:r w:rsidR="002F48D8">
              <w:rPr>
                <w:noProof/>
              </w:rPr>
              <w:fldChar w:fldCharType="separate"/>
            </w:r>
            <w:r w:rsidR="002F48D8">
              <w:rPr>
                <w:noProof/>
              </w:rPr>
              <w:t>2</w:t>
            </w:r>
            <w:r w:rsidR="002F48D8">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2.</w:t>
            </w:r>
            <w:r>
              <w:rPr>
                <w:rFonts w:asciiTheme="minorHAnsi" w:eastAsiaTheme="minorEastAsia" w:hAnsiTheme="minorHAnsi" w:cstheme="minorBidi"/>
                <w:b w:val="0"/>
                <w:noProof/>
                <w:color w:val="auto"/>
                <w:lang w:eastAsia="en-GB"/>
              </w:rPr>
              <w:tab/>
            </w:r>
            <w:r>
              <w:rPr>
                <w:noProof/>
              </w:rPr>
              <w:t>Definitions</w:t>
            </w:r>
            <w:r>
              <w:rPr>
                <w:noProof/>
              </w:rPr>
              <w:tab/>
            </w:r>
            <w:r>
              <w:rPr>
                <w:noProof/>
              </w:rPr>
              <w:fldChar w:fldCharType="begin"/>
            </w:r>
            <w:r>
              <w:rPr>
                <w:noProof/>
              </w:rPr>
              <w:instrText xml:space="preserve"> PAGEREF _Toc400707001 \h </w:instrText>
            </w:r>
            <w:r>
              <w:rPr>
                <w:noProof/>
              </w:rPr>
            </w:r>
            <w:r>
              <w:rPr>
                <w:noProof/>
              </w:rPr>
              <w:fldChar w:fldCharType="separate"/>
            </w:r>
            <w:r>
              <w:rPr>
                <w:noProof/>
              </w:rPr>
              <w:t>2</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3.</w:t>
            </w:r>
            <w:r>
              <w:rPr>
                <w:rFonts w:asciiTheme="minorHAnsi" w:eastAsiaTheme="minorEastAsia" w:hAnsiTheme="minorHAnsi" w:cstheme="minorBidi"/>
                <w:b w:val="0"/>
                <w:noProof/>
                <w:color w:val="auto"/>
                <w:lang w:eastAsia="en-GB"/>
              </w:rPr>
              <w:tab/>
            </w:r>
            <w:r>
              <w:rPr>
                <w:noProof/>
              </w:rPr>
              <w:t>Key findings</w:t>
            </w:r>
            <w:r>
              <w:rPr>
                <w:noProof/>
              </w:rPr>
              <w:tab/>
            </w:r>
            <w:r>
              <w:rPr>
                <w:noProof/>
              </w:rPr>
              <w:fldChar w:fldCharType="begin"/>
            </w:r>
            <w:r>
              <w:rPr>
                <w:noProof/>
              </w:rPr>
              <w:instrText xml:space="preserve"> PAGEREF _Toc400707002 \h </w:instrText>
            </w:r>
            <w:r>
              <w:rPr>
                <w:noProof/>
              </w:rPr>
            </w:r>
            <w:r>
              <w:rPr>
                <w:noProof/>
              </w:rPr>
              <w:fldChar w:fldCharType="separate"/>
            </w:r>
            <w:r>
              <w:rPr>
                <w:noProof/>
              </w:rPr>
              <w:t>3</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4.</w:t>
            </w:r>
            <w:r>
              <w:rPr>
                <w:rFonts w:asciiTheme="minorHAnsi" w:eastAsiaTheme="minorEastAsia" w:hAnsiTheme="minorHAnsi" w:cstheme="minorBidi"/>
                <w:b w:val="0"/>
                <w:noProof/>
                <w:color w:val="auto"/>
                <w:lang w:eastAsia="en-GB"/>
              </w:rPr>
              <w:tab/>
            </w:r>
            <w:r>
              <w:rPr>
                <w:noProof/>
              </w:rPr>
              <w:t>Latest available year</w:t>
            </w:r>
            <w:r>
              <w:rPr>
                <w:noProof/>
              </w:rPr>
              <w:tab/>
            </w:r>
            <w:r>
              <w:rPr>
                <w:noProof/>
              </w:rPr>
              <w:fldChar w:fldCharType="begin"/>
            </w:r>
            <w:r>
              <w:rPr>
                <w:noProof/>
              </w:rPr>
              <w:instrText xml:space="preserve"> PAGEREF _Toc400707003 \h </w:instrText>
            </w:r>
            <w:r>
              <w:rPr>
                <w:noProof/>
              </w:rPr>
            </w:r>
            <w:r>
              <w:rPr>
                <w:noProof/>
              </w:rPr>
              <w:fldChar w:fldCharType="separate"/>
            </w:r>
            <w:r>
              <w:rPr>
                <w:noProof/>
              </w:rPr>
              <w:t>4</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5.</w:t>
            </w:r>
            <w:r>
              <w:rPr>
                <w:rFonts w:asciiTheme="minorHAnsi" w:eastAsiaTheme="minorEastAsia" w:hAnsiTheme="minorHAnsi" w:cstheme="minorBidi"/>
                <w:b w:val="0"/>
                <w:noProof/>
                <w:color w:val="auto"/>
                <w:lang w:eastAsia="en-GB"/>
              </w:rPr>
              <w:tab/>
            </w:r>
            <w:r>
              <w:rPr>
                <w:noProof/>
              </w:rPr>
              <w:t>Ten-year trend</w:t>
            </w:r>
            <w:r>
              <w:rPr>
                <w:noProof/>
              </w:rPr>
              <w:tab/>
            </w:r>
            <w:r>
              <w:rPr>
                <w:noProof/>
              </w:rPr>
              <w:fldChar w:fldCharType="begin"/>
            </w:r>
            <w:r>
              <w:rPr>
                <w:noProof/>
              </w:rPr>
              <w:instrText xml:space="preserve"> PAGEREF _Toc400707004 \h </w:instrText>
            </w:r>
            <w:r>
              <w:rPr>
                <w:noProof/>
              </w:rPr>
            </w:r>
            <w:r>
              <w:rPr>
                <w:noProof/>
              </w:rPr>
              <w:fldChar w:fldCharType="separate"/>
            </w:r>
            <w:r>
              <w:rPr>
                <w:noProof/>
              </w:rPr>
              <w:t>6</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6.</w:t>
            </w:r>
            <w:r>
              <w:rPr>
                <w:rFonts w:asciiTheme="minorHAnsi" w:eastAsiaTheme="minorEastAsia" w:hAnsiTheme="minorHAnsi" w:cstheme="minorBidi"/>
                <w:b w:val="0"/>
                <w:noProof/>
                <w:color w:val="auto"/>
                <w:lang w:eastAsia="en-GB"/>
              </w:rPr>
              <w:tab/>
            </w:r>
            <w:r>
              <w:rPr>
                <w:noProof/>
              </w:rPr>
              <w:t>Five-year trends</w:t>
            </w:r>
            <w:r>
              <w:rPr>
                <w:noProof/>
              </w:rPr>
              <w:tab/>
            </w:r>
            <w:r>
              <w:rPr>
                <w:noProof/>
              </w:rPr>
              <w:fldChar w:fldCharType="begin"/>
            </w:r>
            <w:r>
              <w:rPr>
                <w:noProof/>
              </w:rPr>
              <w:instrText xml:space="preserve"> PAGEREF _Toc400707005 \h </w:instrText>
            </w:r>
            <w:r>
              <w:rPr>
                <w:noProof/>
              </w:rPr>
            </w:r>
            <w:r>
              <w:rPr>
                <w:noProof/>
              </w:rPr>
              <w:fldChar w:fldCharType="separate"/>
            </w:r>
            <w:r>
              <w:rPr>
                <w:noProof/>
              </w:rPr>
              <w:t>8</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7.</w:t>
            </w:r>
            <w:r>
              <w:rPr>
                <w:rFonts w:asciiTheme="minorHAnsi" w:eastAsiaTheme="minorEastAsia" w:hAnsiTheme="minorHAnsi" w:cstheme="minorBidi"/>
                <w:b w:val="0"/>
                <w:noProof/>
                <w:color w:val="auto"/>
                <w:lang w:eastAsia="en-GB"/>
              </w:rPr>
              <w:tab/>
            </w:r>
            <w:r>
              <w:rPr>
                <w:noProof/>
              </w:rPr>
              <w:t>How the three largest operators behave across PTE areas</w:t>
            </w:r>
            <w:r>
              <w:rPr>
                <w:noProof/>
              </w:rPr>
              <w:tab/>
            </w:r>
            <w:r>
              <w:rPr>
                <w:noProof/>
              </w:rPr>
              <w:fldChar w:fldCharType="begin"/>
            </w:r>
            <w:r>
              <w:rPr>
                <w:noProof/>
              </w:rPr>
              <w:instrText xml:space="preserve"> PAGEREF _Toc400707006 \h </w:instrText>
            </w:r>
            <w:r>
              <w:rPr>
                <w:noProof/>
              </w:rPr>
            </w:r>
            <w:r>
              <w:rPr>
                <w:noProof/>
              </w:rPr>
              <w:fldChar w:fldCharType="separate"/>
            </w:r>
            <w:r>
              <w:rPr>
                <w:noProof/>
              </w:rPr>
              <w:t>13</w:t>
            </w:r>
            <w:r>
              <w:rPr>
                <w:noProof/>
              </w:rPr>
              <w:fldChar w:fldCharType="end"/>
            </w:r>
          </w:p>
          <w:p w:rsidR="002F48D8" w:rsidRDefault="002F48D8">
            <w:pPr>
              <w:pStyle w:val="TOC1"/>
              <w:rPr>
                <w:rFonts w:asciiTheme="minorHAnsi" w:eastAsiaTheme="minorEastAsia" w:hAnsiTheme="minorHAnsi" w:cstheme="minorBidi"/>
                <w:b w:val="0"/>
                <w:noProof/>
                <w:color w:val="auto"/>
                <w:lang w:eastAsia="en-GB"/>
              </w:rPr>
            </w:pPr>
            <w:r w:rsidRPr="007715B7">
              <w:rPr>
                <w:rFonts w:ascii="Arial Bold" w:hAnsi="Arial Bold"/>
                <w:noProof/>
                <w:color w:val="F7931E"/>
              </w:rPr>
              <w:t>8.</w:t>
            </w:r>
            <w:r>
              <w:rPr>
                <w:rFonts w:asciiTheme="minorHAnsi" w:eastAsiaTheme="minorEastAsia" w:hAnsiTheme="minorHAnsi" w:cstheme="minorBidi"/>
                <w:b w:val="0"/>
                <w:noProof/>
                <w:color w:val="auto"/>
                <w:lang w:eastAsia="en-GB"/>
              </w:rPr>
              <w:tab/>
            </w:r>
            <w:r>
              <w:rPr>
                <w:noProof/>
              </w:rPr>
              <w:t>Top 10 profit making companies over the last ten years</w:t>
            </w:r>
            <w:r>
              <w:rPr>
                <w:noProof/>
              </w:rPr>
              <w:tab/>
            </w:r>
            <w:r>
              <w:rPr>
                <w:noProof/>
              </w:rPr>
              <w:fldChar w:fldCharType="begin"/>
            </w:r>
            <w:r>
              <w:rPr>
                <w:noProof/>
              </w:rPr>
              <w:instrText xml:space="preserve"> PAGEREF _Toc400707007 \h </w:instrText>
            </w:r>
            <w:r>
              <w:rPr>
                <w:noProof/>
              </w:rPr>
            </w:r>
            <w:r>
              <w:rPr>
                <w:noProof/>
              </w:rPr>
              <w:fldChar w:fldCharType="separate"/>
            </w:r>
            <w:r>
              <w:rPr>
                <w:noProof/>
              </w:rPr>
              <w:t>16</w:t>
            </w:r>
            <w:r>
              <w:rPr>
                <w:noProof/>
              </w:rPr>
              <w:fldChar w:fldCharType="end"/>
            </w:r>
          </w:p>
          <w:p w:rsidR="00E97CDA" w:rsidRPr="00EC6116" w:rsidRDefault="00E023D8" w:rsidP="00E97CDA">
            <w:r>
              <w:rPr>
                <w:b/>
                <w:color w:val="003876"/>
              </w:rPr>
              <w:fldChar w:fldCharType="end"/>
            </w:r>
          </w:p>
        </w:tc>
      </w:tr>
    </w:tbl>
    <w:p w:rsidR="00E97CDA" w:rsidRDefault="00E97CDA" w:rsidP="00E97CDA">
      <w:pPr>
        <w:pStyle w:val="BaseStyle"/>
        <w:sectPr w:rsidR="00E97CDA" w:rsidSect="00B71FD8">
          <w:headerReference w:type="default" r:id="rId14"/>
          <w:footerReference w:type="default" r:id="rId15"/>
          <w:pgSz w:w="11906" w:h="16838"/>
          <w:pgMar w:top="1814" w:right="1134" w:bottom="1134" w:left="1701" w:header="709" w:footer="441" w:gutter="0"/>
          <w:pgNumType w:start="1"/>
          <w:cols w:space="708"/>
          <w:docGrid w:linePitch="360"/>
        </w:sectPr>
      </w:pPr>
      <w:bookmarkStart w:id="1" w:name="BM_SecBreakToc"/>
    </w:p>
    <w:p w:rsidR="004F0C19" w:rsidRPr="002455BE" w:rsidRDefault="004F0C19" w:rsidP="004F0C19">
      <w:pPr>
        <w:pStyle w:val="Heading1"/>
      </w:pPr>
      <w:bookmarkStart w:id="2" w:name="_Toc400707000"/>
      <w:bookmarkEnd w:id="1"/>
      <w:r w:rsidRPr="002455BE">
        <w:lastRenderedPageBreak/>
        <w:t>Introduction</w:t>
      </w:r>
      <w:bookmarkEnd w:id="2"/>
    </w:p>
    <w:p w:rsidR="004F0C19" w:rsidRDefault="004F0C19" w:rsidP="004F0C19">
      <w:r>
        <w:t>This briefing paper summarises the current financial position of the largest bus companies operating in PTE areas and the wider city regions and compares their performance with that of their London and non-metropolitan counterparts. Our analysis covers all active bus companies employing at least 100 employees. We estimate there to be 122 companies which meet this criterion, representing approximately 90% of Great Britain’s bus industry turnover (see figure 1). Bus companies which operate into PTE areas from the surrounding region have been classed as PTE companies, regardless of the proportion of their operation which is within the metropolitan boundary.</w:t>
      </w:r>
    </w:p>
    <w:p w:rsidR="004F0C19" w:rsidRPr="002455BE" w:rsidRDefault="004F0C19" w:rsidP="004F0C19">
      <w:pPr>
        <w:rPr>
          <w:b/>
        </w:rPr>
      </w:pPr>
      <w:proofErr w:type="gramStart"/>
      <w:r w:rsidRPr="002455BE">
        <w:rPr>
          <w:b/>
        </w:rPr>
        <w:t>Figure 1.</w:t>
      </w:r>
      <w:proofErr w:type="gramEnd"/>
      <w:r w:rsidRPr="002455BE">
        <w:rPr>
          <w:b/>
        </w:rPr>
        <w:t xml:space="preserve"> A breakdown of the companies involved in the analysis</w:t>
      </w:r>
    </w:p>
    <w:tbl>
      <w:tblPr>
        <w:tblStyle w:val="TableGrid"/>
        <w:tblW w:w="0" w:type="auto"/>
        <w:tblLook w:val="04A0" w:firstRow="1" w:lastRow="0" w:firstColumn="1" w:lastColumn="0" w:noHBand="0" w:noVBand="1"/>
      </w:tblPr>
      <w:tblGrid>
        <w:gridCol w:w="3794"/>
        <w:gridCol w:w="2724"/>
        <w:gridCol w:w="2724"/>
      </w:tblGrid>
      <w:tr w:rsidR="004F0C19" w:rsidTr="004F0C19">
        <w:tc>
          <w:tcPr>
            <w:tcW w:w="3794" w:type="dxa"/>
          </w:tcPr>
          <w:p w:rsidR="004F0C19" w:rsidRPr="00061D02" w:rsidRDefault="004F0C19" w:rsidP="004F0C19">
            <w:pPr>
              <w:rPr>
                <w:b/>
              </w:rPr>
            </w:pPr>
            <w:r w:rsidRPr="00061D02">
              <w:rPr>
                <w:b/>
              </w:rPr>
              <w:t>Area</w:t>
            </w:r>
          </w:p>
        </w:tc>
        <w:tc>
          <w:tcPr>
            <w:tcW w:w="2724" w:type="dxa"/>
          </w:tcPr>
          <w:p w:rsidR="004F0C19" w:rsidRPr="00061D02" w:rsidRDefault="004F0C19" w:rsidP="004F0C19">
            <w:pPr>
              <w:jc w:val="right"/>
              <w:rPr>
                <w:b/>
              </w:rPr>
            </w:pPr>
            <w:r w:rsidRPr="00061D02">
              <w:rPr>
                <w:b/>
              </w:rPr>
              <w:t>Number of companies</w:t>
            </w:r>
          </w:p>
        </w:tc>
        <w:tc>
          <w:tcPr>
            <w:tcW w:w="2724" w:type="dxa"/>
          </w:tcPr>
          <w:p w:rsidR="004F0C19" w:rsidRPr="00061D02" w:rsidRDefault="004F0C19" w:rsidP="004F0C19">
            <w:pPr>
              <w:jc w:val="right"/>
              <w:rPr>
                <w:b/>
              </w:rPr>
            </w:pPr>
            <w:r w:rsidRPr="00061D02">
              <w:rPr>
                <w:b/>
              </w:rPr>
              <w:t>Turnover in most recent year (£000s)</w:t>
            </w:r>
          </w:p>
        </w:tc>
      </w:tr>
      <w:tr w:rsidR="004F0C19" w:rsidTr="004F0C19">
        <w:tc>
          <w:tcPr>
            <w:tcW w:w="3794" w:type="dxa"/>
          </w:tcPr>
          <w:p w:rsidR="004F0C19" w:rsidRPr="00061D02" w:rsidRDefault="004F0C19" w:rsidP="004F0C19">
            <w:r w:rsidRPr="00061D02">
              <w:t>PTEs</w:t>
            </w:r>
          </w:p>
        </w:tc>
        <w:tc>
          <w:tcPr>
            <w:tcW w:w="2724" w:type="dxa"/>
          </w:tcPr>
          <w:p w:rsidR="004F0C19" w:rsidRPr="00061D02" w:rsidRDefault="004F0C19" w:rsidP="004F0C19">
            <w:pPr>
              <w:jc w:val="right"/>
            </w:pPr>
            <w:r w:rsidRPr="00061D02">
              <w:t>22</w:t>
            </w:r>
          </w:p>
        </w:tc>
        <w:tc>
          <w:tcPr>
            <w:tcW w:w="2724" w:type="dxa"/>
          </w:tcPr>
          <w:p w:rsidR="004F0C19" w:rsidRPr="00061D02" w:rsidRDefault="004F0C19" w:rsidP="004F0C19">
            <w:pPr>
              <w:jc w:val="right"/>
              <w:rPr>
                <w:color w:val="000000"/>
              </w:rPr>
            </w:pPr>
            <w:r w:rsidRPr="00061D02">
              <w:rPr>
                <w:color w:val="000000"/>
              </w:rPr>
              <w:t>1,364,300</w:t>
            </w:r>
          </w:p>
        </w:tc>
      </w:tr>
      <w:tr w:rsidR="004F0C19" w:rsidTr="004F0C19">
        <w:tc>
          <w:tcPr>
            <w:tcW w:w="3794" w:type="dxa"/>
          </w:tcPr>
          <w:p w:rsidR="004F0C19" w:rsidRPr="00061D02" w:rsidRDefault="004F0C19" w:rsidP="004F0C19">
            <w:r w:rsidRPr="00061D02">
              <w:t xml:space="preserve">GB </w:t>
            </w:r>
            <w:r>
              <w:t>exc.</w:t>
            </w:r>
            <w:r w:rsidRPr="00061D02">
              <w:t xml:space="preserve"> London and the PTEs</w:t>
            </w:r>
          </w:p>
        </w:tc>
        <w:tc>
          <w:tcPr>
            <w:tcW w:w="2724" w:type="dxa"/>
          </w:tcPr>
          <w:p w:rsidR="004F0C19" w:rsidRPr="00061D02" w:rsidRDefault="004F0C19" w:rsidP="004F0C19">
            <w:pPr>
              <w:jc w:val="right"/>
            </w:pPr>
            <w:r w:rsidRPr="00061D02">
              <w:t>85</w:t>
            </w:r>
          </w:p>
        </w:tc>
        <w:tc>
          <w:tcPr>
            <w:tcW w:w="2724" w:type="dxa"/>
          </w:tcPr>
          <w:p w:rsidR="004F0C19" w:rsidRPr="00061D02" w:rsidRDefault="004F0C19" w:rsidP="004F0C19">
            <w:pPr>
              <w:jc w:val="right"/>
              <w:rPr>
                <w:color w:val="000000"/>
              </w:rPr>
            </w:pPr>
            <w:r w:rsidRPr="00061D02">
              <w:rPr>
                <w:color w:val="000000"/>
              </w:rPr>
              <w:t>2,277,941</w:t>
            </w:r>
          </w:p>
        </w:tc>
      </w:tr>
      <w:tr w:rsidR="004F0C19" w:rsidTr="004F0C19">
        <w:tc>
          <w:tcPr>
            <w:tcW w:w="3794" w:type="dxa"/>
          </w:tcPr>
          <w:p w:rsidR="004F0C19" w:rsidRPr="00061D02" w:rsidRDefault="004F0C19" w:rsidP="004F0C19">
            <w:r w:rsidRPr="00061D02">
              <w:t>London</w:t>
            </w:r>
          </w:p>
        </w:tc>
        <w:tc>
          <w:tcPr>
            <w:tcW w:w="2724" w:type="dxa"/>
          </w:tcPr>
          <w:p w:rsidR="004F0C19" w:rsidRPr="00061D02" w:rsidRDefault="004F0C19" w:rsidP="004F0C19">
            <w:pPr>
              <w:jc w:val="right"/>
            </w:pPr>
            <w:r w:rsidRPr="00061D02">
              <w:t>15</w:t>
            </w:r>
          </w:p>
        </w:tc>
        <w:tc>
          <w:tcPr>
            <w:tcW w:w="2724" w:type="dxa"/>
          </w:tcPr>
          <w:p w:rsidR="004F0C19" w:rsidRPr="00061D02" w:rsidRDefault="004F0C19" w:rsidP="004F0C19">
            <w:pPr>
              <w:jc w:val="right"/>
              <w:rPr>
                <w:color w:val="000000"/>
              </w:rPr>
            </w:pPr>
            <w:r w:rsidRPr="00061D02">
              <w:rPr>
                <w:color w:val="000000"/>
              </w:rPr>
              <w:t>1,707,664</w:t>
            </w:r>
          </w:p>
        </w:tc>
      </w:tr>
      <w:tr w:rsidR="004F0C19" w:rsidTr="004F0C19">
        <w:tc>
          <w:tcPr>
            <w:tcW w:w="3794" w:type="dxa"/>
          </w:tcPr>
          <w:p w:rsidR="004F0C19" w:rsidRPr="00061D02" w:rsidRDefault="004F0C19" w:rsidP="004F0C19">
            <w:pPr>
              <w:rPr>
                <w:b/>
              </w:rPr>
            </w:pPr>
            <w:r w:rsidRPr="00061D02">
              <w:rPr>
                <w:b/>
              </w:rPr>
              <w:t>Total</w:t>
            </w:r>
          </w:p>
        </w:tc>
        <w:tc>
          <w:tcPr>
            <w:tcW w:w="2724" w:type="dxa"/>
          </w:tcPr>
          <w:p w:rsidR="004F0C19" w:rsidRPr="00061D02" w:rsidRDefault="004F0C19" w:rsidP="004F0C19">
            <w:pPr>
              <w:jc w:val="right"/>
            </w:pPr>
            <w:r w:rsidRPr="00061D02">
              <w:t>122</w:t>
            </w:r>
          </w:p>
        </w:tc>
        <w:tc>
          <w:tcPr>
            <w:tcW w:w="2724" w:type="dxa"/>
          </w:tcPr>
          <w:p w:rsidR="004F0C19" w:rsidRPr="00061D02" w:rsidRDefault="004F0C19" w:rsidP="004F0C19">
            <w:pPr>
              <w:jc w:val="right"/>
              <w:rPr>
                <w:color w:val="000000"/>
              </w:rPr>
            </w:pPr>
            <w:r w:rsidRPr="00061D02">
              <w:rPr>
                <w:color w:val="000000"/>
              </w:rPr>
              <w:t>5,349,903</w:t>
            </w:r>
          </w:p>
        </w:tc>
      </w:tr>
    </w:tbl>
    <w:p w:rsidR="004F0C19" w:rsidRDefault="004F0C19" w:rsidP="004F0C19">
      <w:r>
        <w:t>We have used published accounts from operating companies and our work does not take into account the financial results of owning groups. We would note that the performance of a given operating company can differ significantly from the aggregate performance of the UK bus division of its owning group. The financial performance of bus companies can vary significantly from year to year, in particular as the result of network expansion/contraction, acquisitions, large scale investment and changes in accounting practice. Our analysis therefore covers both financial performance during the latest year for which accounts are available (either 2012/13 or 2013/14) and the past five and ten years.</w:t>
      </w:r>
    </w:p>
    <w:p w:rsidR="004F0C19" w:rsidRDefault="004F0C19" w:rsidP="004F0C19">
      <w:r>
        <w:t>Section two provides a brief explanation of the key financial indicators, which we refer to throughout the paper. Section three summarises our key findings.  Sections four, five and six then look at bus companies’ financial performance by area during the latest available year, and over the past five and ten years. Section seven compares the performance of metropolitan area bus companies within each of the major owning groups. Section eight lists the top ten PTE bus operating companies by average operating profit over the last ten years.</w:t>
      </w:r>
    </w:p>
    <w:p w:rsidR="004F0C19" w:rsidRPr="002455BE" w:rsidRDefault="004F0C19" w:rsidP="004F0C19">
      <w:pPr>
        <w:pStyle w:val="Heading1"/>
      </w:pPr>
      <w:bookmarkStart w:id="3" w:name="_Toc400707001"/>
      <w:r w:rsidRPr="002455BE">
        <w:t>Definitions</w:t>
      </w:r>
      <w:bookmarkEnd w:id="3"/>
    </w:p>
    <w:p w:rsidR="004F0C19" w:rsidRPr="002455BE" w:rsidRDefault="004F0C19" w:rsidP="004F0C19">
      <w:r>
        <w:t xml:space="preserve">In this report we refer to a number of financial indicators, which are defined below. Unless indicated, these indicators are expressed as a percentage of </w:t>
      </w:r>
      <w:proofErr w:type="gramStart"/>
      <w:r>
        <w:t>turnover</w:t>
      </w:r>
      <w:proofErr w:type="gramEnd"/>
      <w:r>
        <w:t>, although they could equally be expressed in absolute terms.</w:t>
      </w:r>
    </w:p>
    <w:p w:rsidR="004F0C19" w:rsidRPr="00FE6F86" w:rsidRDefault="004F0C19" w:rsidP="004F0C19">
      <w:r>
        <w:rPr>
          <w:b/>
        </w:rPr>
        <w:t xml:space="preserve">EBITDA – </w:t>
      </w:r>
      <w:r>
        <w:t>Earnings before interest, tax, depreciation and amortization. This is often used by analysts as a proxy for net operating cash flow, effectively the amount of money generated by the day to day operation of the business, which is available to pay for longer term investments, finance and to reward shareholders. This indicator can be used, for example, to assess for how much longer (or whether) a bus company can continue to operate with its existing fleet (i.e.: without investing in new vehicles).</w:t>
      </w:r>
    </w:p>
    <w:p w:rsidR="004F0C19" w:rsidRDefault="004F0C19" w:rsidP="004F0C19">
      <w:proofErr w:type="gramStart"/>
      <w:r w:rsidRPr="00031ADB">
        <w:rPr>
          <w:b/>
        </w:rPr>
        <w:lastRenderedPageBreak/>
        <w:t>Operating profit</w:t>
      </w:r>
      <w:r w:rsidRPr="002455BE">
        <w:t>.</w:t>
      </w:r>
      <w:proofErr w:type="gramEnd"/>
      <w:r w:rsidRPr="002455BE">
        <w:t xml:space="preserve"> </w:t>
      </w:r>
      <w:r>
        <w:t xml:space="preserve"> A more useful indicator than EBITDA, this is a measure of the amount of money left over once the business has paid for all its expenses but before interest and tax due or owed are taken into account. </w:t>
      </w:r>
      <w:proofErr w:type="gramStart"/>
      <w:r>
        <w:t>Because the decision of how much money to borrow or lend is at the discretion of management, this indicator provides a fairly robust measure of the intrinsic profitability of a given operation.</w:t>
      </w:r>
      <w:proofErr w:type="gramEnd"/>
      <w:r>
        <w:t xml:space="preserve"> </w:t>
      </w:r>
    </w:p>
    <w:p w:rsidR="004F0C19" w:rsidRDefault="004F0C19" w:rsidP="004F0C19">
      <w:proofErr w:type="gramStart"/>
      <w:r w:rsidRPr="00031ADB">
        <w:rPr>
          <w:b/>
        </w:rPr>
        <w:t>Profit before tax</w:t>
      </w:r>
      <w:r>
        <w:t>.</w:t>
      </w:r>
      <w:proofErr w:type="gramEnd"/>
      <w:r>
        <w:t xml:space="preserve"> This equals operating profit plus or minus any interest owed/due. Because companies can artificially suppress operating profit margins by lending out some of their retained profits there is a case for looking at after tax profit as well. In the case of metropolitan bus operators, this indicator is often greater than operating profit, which reflects the fact that many companies have indeed lent considerable amounts of money from past surpluses. </w:t>
      </w:r>
    </w:p>
    <w:p w:rsidR="004F0C19" w:rsidRDefault="004F0C19" w:rsidP="004F0C19">
      <w:proofErr w:type="gramStart"/>
      <w:r w:rsidRPr="00031ADB">
        <w:rPr>
          <w:b/>
        </w:rPr>
        <w:t>Profit after tax</w:t>
      </w:r>
      <w:r>
        <w:rPr>
          <w:b/>
        </w:rPr>
        <w:t>.</w:t>
      </w:r>
      <w:proofErr w:type="gramEnd"/>
      <w:r>
        <w:rPr>
          <w:b/>
        </w:rPr>
        <w:t xml:space="preserve"> </w:t>
      </w:r>
      <w:r>
        <w:t>This equals profit before tax minus corporation tax due on positive earnings.</w:t>
      </w:r>
    </w:p>
    <w:p w:rsidR="004F0C19" w:rsidRPr="00FE6F86" w:rsidRDefault="004F0C19" w:rsidP="004F0C19">
      <w:proofErr w:type="gramStart"/>
      <w:r>
        <w:rPr>
          <w:b/>
        </w:rPr>
        <w:t>Dividends.</w:t>
      </w:r>
      <w:proofErr w:type="gramEnd"/>
      <w:r>
        <w:rPr>
          <w:b/>
        </w:rPr>
        <w:t xml:space="preserve"> </w:t>
      </w:r>
      <w:r w:rsidRPr="002455BE">
        <w:t>This is</w:t>
      </w:r>
      <w:r>
        <w:rPr>
          <w:b/>
        </w:rPr>
        <w:t xml:space="preserve"> </w:t>
      </w:r>
      <w:r w:rsidRPr="002455BE">
        <w:t xml:space="preserve">the </w:t>
      </w:r>
      <w:r>
        <w:t>share of after tax profits which the operating company decides to pay back to shareholders. Once this money is paid out it is no longer available for the company to invest in its business. Dividends can, on occasion, exceed after tax profits, if the company decides to dip into past earnings.</w:t>
      </w:r>
    </w:p>
    <w:p w:rsidR="004F0C19" w:rsidRDefault="004F0C19" w:rsidP="004F0C19">
      <w:proofErr w:type="gramStart"/>
      <w:r w:rsidRPr="00031ADB">
        <w:rPr>
          <w:b/>
        </w:rPr>
        <w:t>Retained profit</w:t>
      </w:r>
      <w:r w:rsidRPr="002455BE">
        <w:t>.</w:t>
      </w:r>
      <w:proofErr w:type="gramEnd"/>
      <w:r w:rsidRPr="002455BE">
        <w:t xml:space="preserve"> This</w:t>
      </w:r>
      <w:r>
        <w:rPr>
          <w:b/>
        </w:rPr>
        <w:t xml:space="preserve"> </w:t>
      </w:r>
      <w:r>
        <w:t xml:space="preserve">is the amount of money left over to be used by the business once dividends have been paid. If the company decides to return more dividends to shareholders than the after tax profit made in a given year, then this indicator would be negative. </w:t>
      </w:r>
    </w:p>
    <w:p w:rsidR="004F0C19" w:rsidRDefault="004F0C19" w:rsidP="004F0C19">
      <w:r>
        <w:t xml:space="preserve">In this report, we largely focus on changes in </w:t>
      </w:r>
      <w:r w:rsidRPr="004141B9">
        <w:rPr>
          <w:b/>
        </w:rPr>
        <w:t>operating profit</w:t>
      </w:r>
      <w:r>
        <w:t>, effectively the money made from bus operations once all relevant costs (including long term costs such as fleet acquisition) have been taken into account. This is likely to give the most comparable benchmark of profitability across bus companies and will be easily recognised by those in the industry. However, given the large proportion of interest payments received by many bus companies in PTE areas, there is a good case for also looking at after tax profit when investigating the performance of individual companies.</w:t>
      </w:r>
    </w:p>
    <w:p w:rsidR="004F0C19" w:rsidRPr="002455BE" w:rsidRDefault="004F0C19" w:rsidP="004F0C19">
      <w:pPr>
        <w:pStyle w:val="Heading1"/>
      </w:pPr>
      <w:bookmarkStart w:id="4" w:name="_Toc400707002"/>
      <w:r w:rsidRPr="002455BE">
        <w:t>Key findings</w:t>
      </w:r>
      <w:bookmarkEnd w:id="4"/>
      <w:r w:rsidRPr="002455BE">
        <w:t xml:space="preserve"> </w:t>
      </w:r>
    </w:p>
    <w:p w:rsidR="004F0C19" w:rsidRDefault="004F0C19" w:rsidP="004F0C19">
      <w:pPr>
        <w:pStyle w:val="ListParagraph"/>
        <w:numPr>
          <w:ilvl w:val="0"/>
          <w:numId w:val="24"/>
        </w:numPr>
      </w:pPr>
      <w:r>
        <w:t xml:space="preserve">Average operating profits have been consistently higher in PTE areas than elsewhere. </w:t>
      </w:r>
    </w:p>
    <w:p w:rsidR="004F0C19" w:rsidRDefault="004F0C19" w:rsidP="004F0C19">
      <w:pPr>
        <w:pStyle w:val="ListParagraph"/>
        <w:numPr>
          <w:ilvl w:val="0"/>
          <w:numId w:val="25"/>
        </w:numPr>
      </w:pPr>
      <w:r>
        <w:t>In the latest available year, PTE bus operating profits were 8.1%, compared to 4.1% in London and 7.5% elsewhere in England</w:t>
      </w:r>
    </w:p>
    <w:p w:rsidR="004F0C19" w:rsidRDefault="004F0C19" w:rsidP="004F0C19">
      <w:pPr>
        <w:pStyle w:val="ListParagraph"/>
        <w:numPr>
          <w:ilvl w:val="0"/>
          <w:numId w:val="25"/>
        </w:numPr>
      </w:pPr>
      <w:r>
        <w:t>Over the past ten years, PTE bus operating profits were 8.5%, compared to 3.7% in London and 6.4% elsewhere in England</w:t>
      </w:r>
    </w:p>
    <w:p w:rsidR="004F0C19" w:rsidRDefault="004F0C19" w:rsidP="004F0C19">
      <w:pPr>
        <w:pStyle w:val="ListParagraph"/>
        <w:numPr>
          <w:ilvl w:val="0"/>
          <w:numId w:val="24"/>
        </w:numPr>
      </w:pPr>
      <w:r>
        <w:t>Despite a steep dip in profits at the start of the recession, PTE bus companies have been quick to recover. However, the past three years have seen a slight reduction in profit margins, possibly as the result of cuts in central and local government funding. Despite this, average operating profit margins over the past five years have been considerably higher than over the previous five (9.4% compared to 7.3%).</w:t>
      </w:r>
    </w:p>
    <w:p w:rsidR="004F0C19" w:rsidRDefault="004F0C19" w:rsidP="004F0C19">
      <w:pPr>
        <w:pStyle w:val="ListParagraph"/>
        <w:numPr>
          <w:ilvl w:val="0"/>
          <w:numId w:val="24"/>
        </w:numPr>
      </w:pPr>
      <w:r>
        <w:t>Over the past ten years, bus company turnover in PTE areas has increased by almost 50%, compared to a 40% increase in RPI inflation. This has been achieved despite a drop in passenger numbers of 12.7% in metropolitan areas.</w:t>
      </w:r>
    </w:p>
    <w:p w:rsidR="004F0C19" w:rsidRDefault="004F0C19" w:rsidP="004F0C19">
      <w:pPr>
        <w:pStyle w:val="ListParagraph"/>
        <w:numPr>
          <w:ilvl w:val="0"/>
          <w:numId w:val="24"/>
        </w:numPr>
      </w:pPr>
      <w:r>
        <w:lastRenderedPageBreak/>
        <w:t>Whilst the level of profit in PTE areas is relatively high little of this is invested back into the business. Over the past ten years, PTE bus company dividends have been, on average, 7.5% of turnover compared to after tax profit of 8.8% of turnover.</w:t>
      </w:r>
    </w:p>
    <w:p w:rsidR="004F0C19" w:rsidRPr="002455BE" w:rsidRDefault="004F0C19" w:rsidP="004F0C19">
      <w:pPr>
        <w:pStyle w:val="ListParagraph"/>
        <w:numPr>
          <w:ilvl w:val="0"/>
          <w:numId w:val="24"/>
        </w:numPr>
      </w:pPr>
      <w:r w:rsidRPr="00184791">
        <w:t xml:space="preserve">Bus operators in PTE areas are earning significant revenue through interest payments, possibly from intra-group loans. This suggests that, in some cases, money </w:t>
      </w:r>
      <w:r>
        <w:t>has in the past been</w:t>
      </w:r>
      <w:r w:rsidRPr="00184791">
        <w:t xml:space="preserve"> taken out of profitable PTE companies to be reinvested in other parts of the business. This means that, alongside high dividends, a lot of </w:t>
      </w:r>
      <w:r>
        <w:t>retained profits have subsequently</w:t>
      </w:r>
      <w:r w:rsidRPr="00184791">
        <w:t xml:space="preserve"> flow</w:t>
      </w:r>
      <w:r>
        <w:t>ed</w:t>
      </w:r>
      <w:r w:rsidRPr="00184791">
        <w:t xml:space="preserve"> out of PTE bus companies.</w:t>
      </w:r>
      <w:r>
        <w:t xml:space="preserve"> This is also one way in which companies can artificially suppress operating profit margins and one reason to also look at pre-tax profit margins (which include interest).</w:t>
      </w:r>
    </w:p>
    <w:p w:rsidR="004F0C19" w:rsidRDefault="004F0C19" w:rsidP="004F0C19">
      <w:pPr>
        <w:pStyle w:val="ListParagraph"/>
        <w:numPr>
          <w:ilvl w:val="0"/>
          <w:numId w:val="24"/>
        </w:numPr>
      </w:pPr>
      <w:r>
        <w:t>Taking the past ten years into account, the list of most profitable PTE bus companies is topped by Stagecoach in Tyne and Wear (</w:t>
      </w:r>
      <w:proofErr w:type="spellStart"/>
      <w:r>
        <w:t>Busways</w:t>
      </w:r>
      <w:proofErr w:type="spellEnd"/>
      <w:r>
        <w:t>) with an average operating profit margin of 18.8%. Midland Red (Stagecoach in Coventry and Warwickshire) takes second place and First West Yorkshire takes third place with profit margins of, respectively, 15.8% and 15.6%. National Express (West Midlands travel) comes fourth with 11.3%. All other PTE bus companies have had average operating profit margins below 10%.</w:t>
      </w:r>
    </w:p>
    <w:p w:rsidR="004F0C19" w:rsidRDefault="004F0C19" w:rsidP="004F0C19">
      <w:pPr>
        <w:pStyle w:val="ListParagraph"/>
        <w:numPr>
          <w:ilvl w:val="0"/>
          <w:numId w:val="24"/>
        </w:numPr>
      </w:pPr>
      <w:r>
        <w:t xml:space="preserve">Only three PTE bus companies (out of a sample of 22) have failed to make a positive operating profit over the past ten years: Diamond (West Midlands), Yorkshire Traction (Stagecoach in Barnsley) and Arriva </w:t>
      </w:r>
      <w:proofErr w:type="spellStart"/>
      <w:r>
        <w:t>NorthWest</w:t>
      </w:r>
      <w:proofErr w:type="spellEnd"/>
      <w:r>
        <w:t xml:space="preserve"> (mainly operating in the area between GM and Merseyside).</w:t>
      </w:r>
    </w:p>
    <w:p w:rsidR="004F0C19" w:rsidRPr="00022076" w:rsidRDefault="004F0C19" w:rsidP="004F0C19">
      <w:pPr>
        <w:rPr>
          <w:b/>
        </w:rPr>
      </w:pPr>
    </w:p>
    <w:p w:rsidR="004F0C19" w:rsidRPr="002455BE" w:rsidRDefault="004F0C19" w:rsidP="004F0C19">
      <w:pPr>
        <w:pStyle w:val="Heading1"/>
      </w:pPr>
      <w:bookmarkStart w:id="5" w:name="_Toc400707003"/>
      <w:r>
        <w:t>Latest available year</w:t>
      </w:r>
      <w:bookmarkEnd w:id="5"/>
    </w:p>
    <w:p w:rsidR="004F0C19" w:rsidRDefault="004F0C19" w:rsidP="004F0C19">
      <w:r>
        <w:t>Focusing on accounts from the most rec</w:t>
      </w:r>
      <w:r w:rsidR="002F48D8">
        <w:t>ent year available (see figure two</w:t>
      </w:r>
      <w:r>
        <w:t xml:space="preserve">), it is apparent that profits </w:t>
      </w:r>
      <w:r w:rsidRPr="00184791">
        <w:t>were considerably higher</w:t>
      </w:r>
      <w:r>
        <w:t xml:space="preserve"> in PTE areas than in London for all measures. For example, using operating profit, PTE areas had much higher profit levels than bus companies in London (8.1% compared to 4.1%). The comparison to the national average on this measure was much closer, with a national figure of 7.5%. </w:t>
      </w:r>
    </w:p>
    <w:p w:rsidR="004F0C19" w:rsidRDefault="004F0C19" w:rsidP="004F0C19">
      <w:pPr>
        <w:keepNext/>
        <w:keepLines/>
        <w:rPr>
          <w:b/>
        </w:rPr>
      </w:pPr>
      <w:proofErr w:type="gramStart"/>
      <w:r>
        <w:rPr>
          <w:b/>
        </w:rPr>
        <w:lastRenderedPageBreak/>
        <w:t>Figure 2</w:t>
      </w:r>
      <w:r w:rsidRPr="009D040C">
        <w:rPr>
          <w:b/>
        </w:rPr>
        <w:t>.</w:t>
      </w:r>
      <w:proofErr w:type="gramEnd"/>
      <w:r w:rsidRPr="009D040C">
        <w:rPr>
          <w:b/>
        </w:rPr>
        <w:t xml:space="preserve"> </w:t>
      </w:r>
      <w:r>
        <w:rPr>
          <w:b/>
        </w:rPr>
        <w:t>A</w:t>
      </w:r>
      <w:r w:rsidRPr="009D040C">
        <w:rPr>
          <w:b/>
        </w:rPr>
        <w:t>verage bus company profitability</w:t>
      </w:r>
      <w:r>
        <w:rPr>
          <w:b/>
        </w:rPr>
        <w:t xml:space="preserve"> by area – most recent year available (as % of turnover except where stated)</w:t>
      </w:r>
    </w:p>
    <w:tbl>
      <w:tblPr>
        <w:tblStyle w:val="TableGrid"/>
        <w:tblW w:w="5000" w:type="pct"/>
        <w:tblLayout w:type="fixed"/>
        <w:tblLook w:val="04A0" w:firstRow="1" w:lastRow="0" w:firstColumn="1" w:lastColumn="0" w:noHBand="0" w:noVBand="1"/>
      </w:tblPr>
      <w:tblGrid>
        <w:gridCol w:w="1242"/>
        <w:gridCol w:w="1135"/>
        <w:gridCol w:w="994"/>
        <w:gridCol w:w="1176"/>
        <w:gridCol w:w="806"/>
        <w:gridCol w:w="710"/>
        <w:gridCol w:w="1275"/>
        <w:gridCol w:w="843"/>
        <w:gridCol w:w="1061"/>
      </w:tblGrid>
      <w:tr w:rsidR="004F0C19" w:rsidTr="004F0C19">
        <w:trPr>
          <w:cantSplit/>
        </w:trPr>
        <w:tc>
          <w:tcPr>
            <w:tcW w:w="672" w:type="pct"/>
            <w:tcBorders>
              <w:bottom w:val="single" w:sz="12" w:space="0" w:color="auto"/>
            </w:tcBorders>
          </w:tcPr>
          <w:p w:rsidR="004F0C19" w:rsidRPr="0054363F" w:rsidRDefault="004F0C19" w:rsidP="004F0C19">
            <w:pPr>
              <w:keepNext/>
              <w:keepLines/>
              <w:rPr>
                <w:b/>
                <w:sz w:val="20"/>
              </w:rPr>
            </w:pPr>
            <w:r w:rsidRPr="0054363F">
              <w:rPr>
                <w:b/>
                <w:sz w:val="20"/>
              </w:rPr>
              <w:t>Area</w:t>
            </w:r>
          </w:p>
        </w:tc>
        <w:tc>
          <w:tcPr>
            <w:tcW w:w="614"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Turnover £000s</w:t>
            </w:r>
          </w:p>
        </w:tc>
        <w:tc>
          <w:tcPr>
            <w:tcW w:w="538"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EBITDA</w:t>
            </w:r>
          </w:p>
        </w:tc>
        <w:tc>
          <w:tcPr>
            <w:tcW w:w="636"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Operating Profit</w:t>
            </w:r>
          </w:p>
        </w:tc>
        <w:tc>
          <w:tcPr>
            <w:tcW w:w="436"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Pre-tax profit</w:t>
            </w:r>
          </w:p>
        </w:tc>
        <w:tc>
          <w:tcPr>
            <w:tcW w:w="384"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Post-tax profit</w:t>
            </w:r>
          </w:p>
        </w:tc>
        <w:tc>
          <w:tcPr>
            <w:tcW w:w="690" w:type="pct"/>
            <w:tcBorders>
              <w:bottom w:val="single" w:sz="12" w:space="0" w:color="auto"/>
            </w:tcBorders>
          </w:tcPr>
          <w:p w:rsidR="004F0C19" w:rsidRPr="00022076" w:rsidRDefault="004F0C19" w:rsidP="004F0C19">
            <w:pPr>
              <w:keepNext/>
              <w:keepLines/>
              <w:rPr>
                <w:b/>
                <w:sz w:val="20"/>
                <w:szCs w:val="20"/>
              </w:rPr>
            </w:pPr>
            <w:r w:rsidRPr="00022076">
              <w:rPr>
                <w:b/>
                <w:sz w:val="20"/>
                <w:szCs w:val="20"/>
              </w:rPr>
              <w:t>Dividen</w:t>
            </w:r>
            <w:r>
              <w:rPr>
                <w:b/>
                <w:sz w:val="20"/>
                <w:szCs w:val="20"/>
              </w:rPr>
              <w:t>d</w:t>
            </w:r>
            <w:r w:rsidRPr="00022076">
              <w:rPr>
                <w:b/>
                <w:sz w:val="20"/>
                <w:szCs w:val="20"/>
              </w:rPr>
              <w:t>s paid</w:t>
            </w:r>
          </w:p>
        </w:tc>
        <w:tc>
          <w:tcPr>
            <w:tcW w:w="456" w:type="pct"/>
            <w:tcBorders>
              <w:bottom w:val="single" w:sz="12" w:space="0" w:color="auto"/>
            </w:tcBorders>
          </w:tcPr>
          <w:p w:rsidR="004F0C19" w:rsidRPr="00022076" w:rsidRDefault="004F0C19" w:rsidP="004F0C19">
            <w:pPr>
              <w:keepNext/>
              <w:keepLines/>
              <w:jc w:val="right"/>
              <w:rPr>
                <w:b/>
                <w:sz w:val="20"/>
                <w:szCs w:val="20"/>
              </w:rPr>
            </w:pPr>
            <w:proofErr w:type="spellStart"/>
            <w:r w:rsidRPr="00022076">
              <w:rPr>
                <w:b/>
                <w:sz w:val="20"/>
                <w:szCs w:val="20"/>
              </w:rPr>
              <w:t>Div</w:t>
            </w:r>
            <w:proofErr w:type="spellEnd"/>
            <w:r w:rsidRPr="00022076">
              <w:rPr>
                <w:b/>
                <w:sz w:val="20"/>
                <w:szCs w:val="20"/>
              </w:rPr>
              <w:t xml:space="preserve"> as % of post-tax prof</w:t>
            </w:r>
          </w:p>
        </w:tc>
        <w:tc>
          <w:tcPr>
            <w:tcW w:w="574"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Retained Profit</w:t>
            </w:r>
          </w:p>
        </w:tc>
      </w:tr>
      <w:tr w:rsidR="004F0C19" w:rsidTr="004F0C19">
        <w:tc>
          <w:tcPr>
            <w:tcW w:w="672" w:type="pct"/>
            <w:tcBorders>
              <w:top w:val="single" w:sz="12" w:space="0" w:color="auto"/>
            </w:tcBorders>
          </w:tcPr>
          <w:p w:rsidR="004F0C19" w:rsidRPr="0054363F" w:rsidRDefault="004F0C19" w:rsidP="004F0C19">
            <w:pPr>
              <w:keepNext/>
              <w:keepLines/>
              <w:rPr>
                <w:sz w:val="20"/>
              </w:rPr>
            </w:pPr>
            <w:r w:rsidRPr="0054363F">
              <w:rPr>
                <w:sz w:val="20"/>
              </w:rPr>
              <w:t>CENTRO</w:t>
            </w:r>
          </w:p>
        </w:tc>
        <w:tc>
          <w:tcPr>
            <w:tcW w:w="614" w:type="pct"/>
            <w:tcBorders>
              <w:top w:val="single" w:sz="12" w:space="0" w:color="auto"/>
            </w:tcBorders>
          </w:tcPr>
          <w:p w:rsidR="004F0C19" w:rsidRPr="00022076" w:rsidRDefault="004F0C19" w:rsidP="004F0C19">
            <w:pPr>
              <w:jc w:val="right"/>
              <w:rPr>
                <w:color w:val="333333"/>
                <w:sz w:val="20"/>
                <w:szCs w:val="20"/>
              </w:rPr>
            </w:pPr>
            <w:r w:rsidRPr="00022076">
              <w:rPr>
                <w:color w:val="333333"/>
                <w:sz w:val="20"/>
                <w:szCs w:val="20"/>
              </w:rPr>
              <w:t>362,914</w:t>
            </w:r>
          </w:p>
          <w:p w:rsidR="004F0C19" w:rsidRPr="00022076" w:rsidRDefault="004F0C19" w:rsidP="004F0C19">
            <w:pPr>
              <w:keepNext/>
              <w:keepLines/>
              <w:jc w:val="right"/>
              <w:rPr>
                <w:sz w:val="20"/>
                <w:szCs w:val="20"/>
              </w:rPr>
            </w:pPr>
          </w:p>
        </w:tc>
        <w:tc>
          <w:tcPr>
            <w:tcW w:w="538"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13.5</w:t>
            </w:r>
          </w:p>
        </w:tc>
        <w:tc>
          <w:tcPr>
            <w:tcW w:w="636"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7.9</w:t>
            </w:r>
          </w:p>
        </w:tc>
        <w:tc>
          <w:tcPr>
            <w:tcW w:w="436"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7.5</w:t>
            </w:r>
          </w:p>
        </w:tc>
        <w:tc>
          <w:tcPr>
            <w:tcW w:w="384"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6.0</w:t>
            </w:r>
          </w:p>
        </w:tc>
        <w:tc>
          <w:tcPr>
            <w:tcW w:w="690"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4.3</w:t>
            </w:r>
          </w:p>
        </w:tc>
        <w:tc>
          <w:tcPr>
            <w:tcW w:w="456"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77</w:t>
            </w:r>
          </w:p>
        </w:tc>
        <w:tc>
          <w:tcPr>
            <w:tcW w:w="574" w:type="pct"/>
            <w:tcBorders>
              <w:top w:val="single" w:sz="12" w:space="0" w:color="auto"/>
            </w:tcBorders>
          </w:tcPr>
          <w:p w:rsidR="004F0C19" w:rsidRPr="00022076" w:rsidRDefault="004F0C19" w:rsidP="004F0C19">
            <w:pPr>
              <w:keepNext/>
              <w:keepLines/>
              <w:jc w:val="right"/>
              <w:rPr>
                <w:sz w:val="20"/>
                <w:szCs w:val="20"/>
              </w:rPr>
            </w:pPr>
            <w:r w:rsidRPr="00022076">
              <w:rPr>
                <w:sz w:val="20"/>
                <w:szCs w:val="20"/>
              </w:rPr>
              <w:t>1.8</w:t>
            </w:r>
          </w:p>
        </w:tc>
      </w:tr>
      <w:tr w:rsidR="004F0C19" w:rsidTr="004F0C19">
        <w:tc>
          <w:tcPr>
            <w:tcW w:w="672" w:type="pct"/>
          </w:tcPr>
          <w:p w:rsidR="004F0C19" w:rsidRPr="0054363F" w:rsidRDefault="004F0C19" w:rsidP="004F0C19">
            <w:pPr>
              <w:keepNext/>
              <w:keepLines/>
              <w:rPr>
                <w:sz w:val="20"/>
              </w:rPr>
            </w:pPr>
            <w:r w:rsidRPr="0054363F">
              <w:rPr>
                <w:sz w:val="20"/>
              </w:rPr>
              <w:t>Mersey-travel</w:t>
            </w:r>
          </w:p>
        </w:tc>
        <w:tc>
          <w:tcPr>
            <w:tcW w:w="614" w:type="pct"/>
          </w:tcPr>
          <w:p w:rsidR="004F0C19" w:rsidRPr="00022076" w:rsidRDefault="004F0C19" w:rsidP="004F0C19">
            <w:pPr>
              <w:jc w:val="right"/>
              <w:rPr>
                <w:color w:val="000000"/>
                <w:sz w:val="20"/>
                <w:szCs w:val="20"/>
              </w:rPr>
            </w:pPr>
            <w:r w:rsidRPr="00022076">
              <w:rPr>
                <w:color w:val="000000"/>
                <w:sz w:val="20"/>
                <w:szCs w:val="20"/>
              </w:rPr>
              <w:t>151,528</w:t>
            </w:r>
          </w:p>
          <w:p w:rsidR="004F0C19" w:rsidRPr="00022076" w:rsidRDefault="004F0C19" w:rsidP="004F0C19">
            <w:pPr>
              <w:keepNext/>
              <w:keepLines/>
              <w:jc w:val="right"/>
              <w:rPr>
                <w:sz w:val="20"/>
                <w:szCs w:val="20"/>
              </w:rPr>
            </w:pPr>
          </w:p>
        </w:tc>
        <w:tc>
          <w:tcPr>
            <w:tcW w:w="538" w:type="pct"/>
          </w:tcPr>
          <w:p w:rsidR="004F0C19" w:rsidRPr="00022076" w:rsidRDefault="004F0C19" w:rsidP="004F0C19">
            <w:pPr>
              <w:keepNext/>
              <w:keepLines/>
              <w:jc w:val="right"/>
              <w:rPr>
                <w:sz w:val="20"/>
                <w:szCs w:val="20"/>
              </w:rPr>
            </w:pPr>
            <w:r w:rsidRPr="00022076">
              <w:rPr>
                <w:sz w:val="20"/>
                <w:szCs w:val="20"/>
              </w:rPr>
              <w:t>10.2</w:t>
            </w:r>
          </w:p>
        </w:tc>
        <w:tc>
          <w:tcPr>
            <w:tcW w:w="636" w:type="pct"/>
          </w:tcPr>
          <w:p w:rsidR="004F0C19" w:rsidRPr="00022076" w:rsidRDefault="004F0C19" w:rsidP="004F0C19">
            <w:pPr>
              <w:keepNext/>
              <w:keepLines/>
              <w:jc w:val="right"/>
              <w:rPr>
                <w:sz w:val="20"/>
                <w:szCs w:val="20"/>
              </w:rPr>
            </w:pPr>
            <w:r w:rsidRPr="00022076">
              <w:rPr>
                <w:sz w:val="20"/>
                <w:szCs w:val="20"/>
              </w:rPr>
              <w:t>7.2</w:t>
            </w:r>
          </w:p>
        </w:tc>
        <w:tc>
          <w:tcPr>
            <w:tcW w:w="436" w:type="pct"/>
          </w:tcPr>
          <w:p w:rsidR="004F0C19" w:rsidRPr="00022076" w:rsidRDefault="004F0C19" w:rsidP="004F0C19">
            <w:pPr>
              <w:keepNext/>
              <w:keepLines/>
              <w:jc w:val="right"/>
              <w:rPr>
                <w:sz w:val="20"/>
                <w:szCs w:val="20"/>
              </w:rPr>
            </w:pPr>
            <w:r w:rsidRPr="00022076">
              <w:rPr>
                <w:sz w:val="20"/>
                <w:szCs w:val="20"/>
              </w:rPr>
              <w:t>8.2</w:t>
            </w:r>
          </w:p>
        </w:tc>
        <w:tc>
          <w:tcPr>
            <w:tcW w:w="384" w:type="pct"/>
          </w:tcPr>
          <w:p w:rsidR="004F0C19" w:rsidRPr="00022076" w:rsidRDefault="004F0C19" w:rsidP="004F0C19">
            <w:pPr>
              <w:keepNext/>
              <w:keepLines/>
              <w:jc w:val="right"/>
              <w:rPr>
                <w:sz w:val="20"/>
                <w:szCs w:val="20"/>
              </w:rPr>
            </w:pPr>
            <w:r w:rsidRPr="00022076">
              <w:rPr>
                <w:sz w:val="20"/>
                <w:szCs w:val="20"/>
              </w:rPr>
              <w:t>6.2</w:t>
            </w:r>
          </w:p>
        </w:tc>
        <w:tc>
          <w:tcPr>
            <w:tcW w:w="690" w:type="pct"/>
          </w:tcPr>
          <w:p w:rsidR="004F0C19" w:rsidRPr="00022076" w:rsidRDefault="004F0C19" w:rsidP="004F0C19">
            <w:pPr>
              <w:keepNext/>
              <w:keepLines/>
              <w:jc w:val="right"/>
              <w:rPr>
                <w:sz w:val="20"/>
                <w:szCs w:val="20"/>
              </w:rPr>
            </w:pPr>
            <w:r w:rsidRPr="00022076">
              <w:rPr>
                <w:sz w:val="20"/>
                <w:szCs w:val="20"/>
              </w:rPr>
              <w:t>0</w:t>
            </w:r>
          </w:p>
        </w:tc>
        <w:tc>
          <w:tcPr>
            <w:tcW w:w="456" w:type="pct"/>
          </w:tcPr>
          <w:p w:rsidR="004F0C19" w:rsidRPr="00022076" w:rsidRDefault="004F0C19" w:rsidP="004F0C19">
            <w:pPr>
              <w:keepNext/>
              <w:keepLines/>
              <w:jc w:val="right"/>
              <w:rPr>
                <w:sz w:val="20"/>
                <w:szCs w:val="20"/>
              </w:rPr>
            </w:pPr>
            <w:r w:rsidRPr="00022076">
              <w:rPr>
                <w:sz w:val="20"/>
                <w:szCs w:val="20"/>
              </w:rPr>
              <w:t>0</w:t>
            </w:r>
          </w:p>
        </w:tc>
        <w:tc>
          <w:tcPr>
            <w:tcW w:w="574" w:type="pct"/>
          </w:tcPr>
          <w:p w:rsidR="004F0C19" w:rsidRPr="00022076" w:rsidRDefault="004F0C19" w:rsidP="004F0C19">
            <w:pPr>
              <w:keepNext/>
              <w:keepLines/>
              <w:jc w:val="right"/>
              <w:rPr>
                <w:sz w:val="20"/>
                <w:szCs w:val="20"/>
              </w:rPr>
            </w:pPr>
            <w:r w:rsidRPr="00022076">
              <w:rPr>
                <w:sz w:val="20"/>
                <w:szCs w:val="20"/>
              </w:rPr>
              <w:t>0.1</w:t>
            </w:r>
          </w:p>
        </w:tc>
      </w:tr>
      <w:tr w:rsidR="004F0C19" w:rsidTr="004F0C19">
        <w:tc>
          <w:tcPr>
            <w:tcW w:w="672" w:type="pct"/>
          </w:tcPr>
          <w:p w:rsidR="004F0C19" w:rsidRPr="0054363F" w:rsidRDefault="004F0C19" w:rsidP="004F0C19">
            <w:pPr>
              <w:keepNext/>
              <w:keepLines/>
              <w:rPr>
                <w:sz w:val="20"/>
              </w:rPr>
            </w:pPr>
            <w:r w:rsidRPr="0054363F">
              <w:rPr>
                <w:sz w:val="20"/>
              </w:rPr>
              <w:t>NEXUS</w:t>
            </w:r>
          </w:p>
        </w:tc>
        <w:tc>
          <w:tcPr>
            <w:tcW w:w="614" w:type="pct"/>
          </w:tcPr>
          <w:p w:rsidR="004F0C19" w:rsidRPr="00022076" w:rsidRDefault="004F0C19" w:rsidP="004F0C19">
            <w:pPr>
              <w:jc w:val="right"/>
              <w:rPr>
                <w:color w:val="000000"/>
                <w:sz w:val="20"/>
                <w:szCs w:val="20"/>
              </w:rPr>
            </w:pPr>
            <w:r w:rsidRPr="00022076">
              <w:rPr>
                <w:color w:val="000000"/>
                <w:sz w:val="20"/>
                <w:szCs w:val="20"/>
              </w:rPr>
              <w:t>182,880</w:t>
            </w:r>
          </w:p>
          <w:p w:rsidR="004F0C19" w:rsidRPr="00022076" w:rsidRDefault="004F0C19" w:rsidP="004F0C19">
            <w:pPr>
              <w:keepNext/>
              <w:keepLines/>
              <w:jc w:val="right"/>
              <w:rPr>
                <w:sz w:val="20"/>
                <w:szCs w:val="20"/>
              </w:rPr>
            </w:pPr>
          </w:p>
        </w:tc>
        <w:tc>
          <w:tcPr>
            <w:tcW w:w="538" w:type="pct"/>
          </w:tcPr>
          <w:p w:rsidR="004F0C19" w:rsidRPr="00022076" w:rsidRDefault="004F0C19" w:rsidP="004F0C19">
            <w:pPr>
              <w:keepNext/>
              <w:keepLines/>
              <w:jc w:val="right"/>
              <w:rPr>
                <w:sz w:val="20"/>
                <w:szCs w:val="20"/>
              </w:rPr>
            </w:pPr>
            <w:r w:rsidRPr="00022076">
              <w:rPr>
                <w:sz w:val="20"/>
                <w:szCs w:val="20"/>
              </w:rPr>
              <w:t>16.6</w:t>
            </w:r>
          </w:p>
        </w:tc>
        <w:tc>
          <w:tcPr>
            <w:tcW w:w="636" w:type="pct"/>
          </w:tcPr>
          <w:p w:rsidR="004F0C19" w:rsidRPr="00022076" w:rsidRDefault="004F0C19" w:rsidP="004F0C19">
            <w:pPr>
              <w:keepNext/>
              <w:keepLines/>
              <w:jc w:val="right"/>
              <w:rPr>
                <w:sz w:val="20"/>
                <w:szCs w:val="20"/>
              </w:rPr>
            </w:pPr>
            <w:r w:rsidRPr="00022076">
              <w:rPr>
                <w:sz w:val="20"/>
                <w:szCs w:val="20"/>
              </w:rPr>
              <w:t>12.5</w:t>
            </w:r>
          </w:p>
        </w:tc>
        <w:tc>
          <w:tcPr>
            <w:tcW w:w="436" w:type="pct"/>
          </w:tcPr>
          <w:p w:rsidR="004F0C19" w:rsidRPr="00022076" w:rsidRDefault="004F0C19" w:rsidP="004F0C19">
            <w:pPr>
              <w:keepNext/>
              <w:keepLines/>
              <w:jc w:val="right"/>
              <w:rPr>
                <w:sz w:val="20"/>
                <w:szCs w:val="20"/>
              </w:rPr>
            </w:pPr>
            <w:r w:rsidRPr="00022076">
              <w:rPr>
                <w:sz w:val="20"/>
                <w:szCs w:val="20"/>
              </w:rPr>
              <w:t>13.1</w:t>
            </w:r>
          </w:p>
        </w:tc>
        <w:tc>
          <w:tcPr>
            <w:tcW w:w="384" w:type="pct"/>
          </w:tcPr>
          <w:p w:rsidR="004F0C19" w:rsidRPr="00022076" w:rsidRDefault="004F0C19" w:rsidP="004F0C19">
            <w:pPr>
              <w:keepNext/>
              <w:keepLines/>
              <w:jc w:val="right"/>
              <w:rPr>
                <w:sz w:val="20"/>
                <w:szCs w:val="20"/>
              </w:rPr>
            </w:pPr>
            <w:r w:rsidRPr="00022076">
              <w:rPr>
                <w:sz w:val="20"/>
                <w:szCs w:val="20"/>
              </w:rPr>
              <w:t>10.3</w:t>
            </w:r>
          </w:p>
        </w:tc>
        <w:tc>
          <w:tcPr>
            <w:tcW w:w="690" w:type="pct"/>
          </w:tcPr>
          <w:p w:rsidR="004F0C19" w:rsidRPr="00022076" w:rsidRDefault="004F0C19" w:rsidP="004F0C19">
            <w:pPr>
              <w:keepNext/>
              <w:keepLines/>
              <w:jc w:val="right"/>
              <w:rPr>
                <w:sz w:val="20"/>
                <w:szCs w:val="20"/>
              </w:rPr>
            </w:pPr>
            <w:r w:rsidRPr="00022076">
              <w:rPr>
                <w:sz w:val="20"/>
                <w:szCs w:val="20"/>
              </w:rPr>
              <w:t>7.5</w:t>
            </w:r>
          </w:p>
        </w:tc>
        <w:tc>
          <w:tcPr>
            <w:tcW w:w="456" w:type="pct"/>
          </w:tcPr>
          <w:p w:rsidR="004F0C19" w:rsidRPr="00022076" w:rsidRDefault="004F0C19" w:rsidP="004F0C19">
            <w:pPr>
              <w:keepNext/>
              <w:keepLines/>
              <w:jc w:val="right"/>
              <w:rPr>
                <w:sz w:val="20"/>
                <w:szCs w:val="20"/>
              </w:rPr>
            </w:pPr>
            <w:r w:rsidRPr="00022076">
              <w:rPr>
                <w:sz w:val="20"/>
                <w:szCs w:val="20"/>
              </w:rPr>
              <w:t>73</w:t>
            </w:r>
          </w:p>
        </w:tc>
        <w:tc>
          <w:tcPr>
            <w:tcW w:w="574" w:type="pct"/>
          </w:tcPr>
          <w:p w:rsidR="004F0C19" w:rsidRPr="00022076" w:rsidRDefault="004F0C19" w:rsidP="004F0C19">
            <w:pPr>
              <w:keepNext/>
              <w:keepLines/>
              <w:jc w:val="right"/>
              <w:rPr>
                <w:sz w:val="20"/>
                <w:szCs w:val="20"/>
              </w:rPr>
            </w:pPr>
            <w:r w:rsidRPr="00022076">
              <w:rPr>
                <w:sz w:val="20"/>
                <w:szCs w:val="20"/>
              </w:rPr>
              <w:t>2.8</w:t>
            </w:r>
          </w:p>
        </w:tc>
      </w:tr>
      <w:tr w:rsidR="004F0C19" w:rsidTr="004F0C19">
        <w:tc>
          <w:tcPr>
            <w:tcW w:w="672" w:type="pct"/>
          </w:tcPr>
          <w:p w:rsidR="004F0C19" w:rsidRPr="0054363F" w:rsidRDefault="004F0C19" w:rsidP="004F0C19">
            <w:pPr>
              <w:keepNext/>
              <w:keepLines/>
              <w:rPr>
                <w:sz w:val="20"/>
              </w:rPr>
            </w:pPr>
            <w:r w:rsidRPr="0054363F">
              <w:rPr>
                <w:sz w:val="20"/>
              </w:rPr>
              <w:t>SYPTE</w:t>
            </w:r>
          </w:p>
        </w:tc>
        <w:tc>
          <w:tcPr>
            <w:tcW w:w="614" w:type="pct"/>
          </w:tcPr>
          <w:p w:rsidR="004F0C19" w:rsidRPr="00022076" w:rsidRDefault="004F0C19" w:rsidP="004F0C19">
            <w:pPr>
              <w:jc w:val="right"/>
              <w:rPr>
                <w:color w:val="000000"/>
                <w:sz w:val="20"/>
                <w:szCs w:val="20"/>
              </w:rPr>
            </w:pPr>
            <w:r w:rsidRPr="00022076">
              <w:rPr>
                <w:color w:val="000000"/>
                <w:sz w:val="20"/>
                <w:szCs w:val="20"/>
              </w:rPr>
              <w:t>197,006</w:t>
            </w:r>
          </w:p>
          <w:p w:rsidR="004F0C19" w:rsidRPr="00022076" w:rsidRDefault="004F0C19" w:rsidP="004F0C19">
            <w:pPr>
              <w:keepNext/>
              <w:keepLines/>
              <w:jc w:val="right"/>
              <w:rPr>
                <w:sz w:val="20"/>
                <w:szCs w:val="20"/>
              </w:rPr>
            </w:pPr>
          </w:p>
        </w:tc>
        <w:tc>
          <w:tcPr>
            <w:tcW w:w="538" w:type="pct"/>
          </w:tcPr>
          <w:p w:rsidR="004F0C19" w:rsidRPr="00022076" w:rsidRDefault="004F0C19" w:rsidP="004F0C19">
            <w:pPr>
              <w:keepNext/>
              <w:keepLines/>
              <w:jc w:val="right"/>
              <w:rPr>
                <w:sz w:val="20"/>
                <w:szCs w:val="20"/>
              </w:rPr>
            </w:pPr>
            <w:r w:rsidRPr="00022076">
              <w:rPr>
                <w:sz w:val="20"/>
                <w:szCs w:val="20"/>
              </w:rPr>
              <w:t>8.1</w:t>
            </w:r>
          </w:p>
        </w:tc>
        <w:tc>
          <w:tcPr>
            <w:tcW w:w="636" w:type="pct"/>
          </w:tcPr>
          <w:p w:rsidR="004F0C19" w:rsidRPr="00022076" w:rsidRDefault="004F0C19" w:rsidP="004F0C19">
            <w:pPr>
              <w:keepNext/>
              <w:keepLines/>
              <w:jc w:val="right"/>
              <w:rPr>
                <w:sz w:val="20"/>
                <w:szCs w:val="20"/>
              </w:rPr>
            </w:pPr>
            <w:r w:rsidRPr="00022076">
              <w:rPr>
                <w:sz w:val="20"/>
                <w:szCs w:val="20"/>
              </w:rPr>
              <w:t>1.2</w:t>
            </w:r>
          </w:p>
        </w:tc>
        <w:tc>
          <w:tcPr>
            <w:tcW w:w="436" w:type="pct"/>
          </w:tcPr>
          <w:p w:rsidR="004F0C19" w:rsidRPr="00022076" w:rsidRDefault="004F0C19" w:rsidP="004F0C19">
            <w:pPr>
              <w:keepNext/>
              <w:keepLines/>
              <w:jc w:val="right"/>
              <w:rPr>
                <w:sz w:val="20"/>
                <w:szCs w:val="20"/>
              </w:rPr>
            </w:pPr>
            <w:r w:rsidRPr="00022076">
              <w:rPr>
                <w:sz w:val="20"/>
                <w:szCs w:val="20"/>
              </w:rPr>
              <w:t>3.8</w:t>
            </w:r>
          </w:p>
        </w:tc>
        <w:tc>
          <w:tcPr>
            <w:tcW w:w="384" w:type="pct"/>
          </w:tcPr>
          <w:p w:rsidR="004F0C19" w:rsidRPr="00022076" w:rsidRDefault="004F0C19" w:rsidP="004F0C19">
            <w:pPr>
              <w:keepNext/>
              <w:keepLines/>
              <w:jc w:val="right"/>
              <w:rPr>
                <w:sz w:val="20"/>
                <w:szCs w:val="20"/>
              </w:rPr>
            </w:pPr>
            <w:r w:rsidRPr="00022076">
              <w:rPr>
                <w:sz w:val="20"/>
                <w:szCs w:val="20"/>
              </w:rPr>
              <w:t>3.7</w:t>
            </w:r>
          </w:p>
        </w:tc>
        <w:tc>
          <w:tcPr>
            <w:tcW w:w="690" w:type="pct"/>
          </w:tcPr>
          <w:p w:rsidR="004F0C19" w:rsidRPr="00022076" w:rsidRDefault="004F0C19" w:rsidP="004F0C19">
            <w:pPr>
              <w:keepNext/>
              <w:keepLines/>
              <w:jc w:val="right"/>
              <w:rPr>
                <w:sz w:val="20"/>
                <w:szCs w:val="20"/>
              </w:rPr>
            </w:pPr>
            <w:r w:rsidRPr="00022076">
              <w:rPr>
                <w:sz w:val="20"/>
                <w:szCs w:val="20"/>
              </w:rPr>
              <w:t>4.5</w:t>
            </w:r>
          </w:p>
        </w:tc>
        <w:tc>
          <w:tcPr>
            <w:tcW w:w="456" w:type="pct"/>
          </w:tcPr>
          <w:p w:rsidR="004F0C19" w:rsidRPr="00022076" w:rsidRDefault="004F0C19" w:rsidP="004F0C19">
            <w:pPr>
              <w:keepNext/>
              <w:keepLines/>
              <w:jc w:val="right"/>
              <w:rPr>
                <w:sz w:val="20"/>
                <w:szCs w:val="20"/>
              </w:rPr>
            </w:pPr>
            <w:r w:rsidRPr="00022076">
              <w:rPr>
                <w:sz w:val="20"/>
                <w:szCs w:val="20"/>
              </w:rPr>
              <w:t>121</w:t>
            </w:r>
          </w:p>
        </w:tc>
        <w:tc>
          <w:tcPr>
            <w:tcW w:w="574" w:type="pct"/>
          </w:tcPr>
          <w:p w:rsidR="004F0C19" w:rsidRPr="00022076" w:rsidRDefault="004F0C19" w:rsidP="004F0C19">
            <w:pPr>
              <w:keepNext/>
              <w:keepLines/>
              <w:jc w:val="right"/>
              <w:rPr>
                <w:sz w:val="20"/>
                <w:szCs w:val="20"/>
              </w:rPr>
            </w:pPr>
            <w:r w:rsidRPr="00022076">
              <w:rPr>
                <w:sz w:val="20"/>
                <w:szCs w:val="20"/>
              </w:rPr>
              <w:t>-0.0</w:t>
            </w:r>
          </w:p>
        </w:tc>
      </w:tr>
      <w:tr w:rsidR="004F0C19" w:rsidTr="004F0C19">
        <w:tc>
          <w:tcPr>
            <w:tcW w:w="672" w:type="pct"/>
            <w:tcBorders>
              <w:bottom w:val="single" w:sz="4" w:space="0" w:color="auto"/>
            </w:tcBorders>
          </w:tcPr>
          <w:p w:rsidR="004F0C19" w:rsidRPr="0054363F" w:rsidRDefault="004F0C19" w:rsidP="004F0C19">
            <w:pPr>
              <w:keepNext/>
              <w:keepLines/>
              <w:rPr>
                <w:sz w:val="20"/>
              </w:rPr>
            </w:pPr>
            <w:proofErr w:type="spellStart"/>
            <w:r w:rsidRPr="0054363F">
              <w:rPr>
                <w:sz w:val="20"/>
              </w:rPr>
              <w:t>TfGM</w:t>
            </w:r>
            <w:proofErr w:type="spellEnd"/>
          </w:p>
        </w:tc>
        <w:tc>
          <w:tcPr>
            <w:tcW w:w="614" w:type="pct"/>
            <w:tcBorders>
              <w:bottom w:val="single" w:sz="4" w:space="0" w:color="auto"/>
            </w:tcBorders>
          </w:tcPr>
          <w:p w:rsidR="004F0C19" w:rsidRPr="00022076" w:rsidRDefault="004F0C19" w:rsidP="004F0C19">
            <w:pPr>
              <w:jc w:val="right"/>
              <w:rPr>
                <w:color w:val="333333"/>
                <w:sz w:val="20"/>
                <w:szCs w:val="20"/>
              </w:rPr>
            </w:pPr>
            <w:r w:rsidRPr="00022076">
              <w:rPr>
                <w:color w:val="333333"/>
                <w:sz w:val="20"/>
                <w:szCs w:val="20"/>
              </w:rPr>
              <w:t>264,611</w:t>
            </w:r>
          </w:p>
          <w:p w:rsidR="004F0C19" w:rsidRPr="00022076" w:rsidRDefault="004F0C19" w:rsidP="004F0C19">
            <w:pPr>
              <w:keepNext/>
              <w:keepLines/>
              <w:jc w:val="right"/>
              <w:rPr>
                <w:sz w:val="20"/>
                <w:szCs w:val="20"/>
              </w:rPr>
            </w:pPr>
          </w:p>
        </w:tc>
        <w:tc>
          <w:tcPr>
            <w:tcW w:w="538"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17.0</w:t>
            </w:r>
          </w:p>
        </w:tc>
        <w:tc>
          <w:tcPr>
            <w:tcW w:w="636"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11.0</w:t>
            </w:r>
          </w:p>
        </w:tc>
        <w:tc>
          <w:tcPr>
            <w:tcW w:w="436"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13.9</w:t>
            </w:r>
          </w:p>
        </w:tc>
        <w:tc>
          <w:tcPr>
            <w:tcW w:w="384"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11.4</w:t>
            </w:r>
          </w:p>
        </w:tc>
        <w:tc>
          <w:tcPr>
            <w:tcW w:w="690"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11.5</w:t>
            </w:r>
          </w:p>
        </w:tc>
        <w:tc>
          <w:tcPr>
            <w:tcW w:w="456"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101</w:t>
            </w:r>
          </w:p>
        </w:tc>
        <w:tc>
          <w:tcPr>
            <w:tcW w:w="574" w:type="pct"/>
            <w:tcBorders>
              <w:bottom w:val="single" w:sz="4" w:space="0" w:color="auto"/>
            </w:tcBorders>
          </w:tcPr>
          <w:p w:rsidR="004F0C19" w:rsidRPr="00022076" w:rsidRDefault="004F0C19" w:rsidP="004F0C19">
            <w:pPr>
              <w:keepNext/>
              <w:keepLines/>
              <w:jc w:val="right"/>
              <w:rPr>
                <w:sz w:val="20"/>
                <w:szCs w:val="20"/>
              </w:rPr>
            </w:pPr>
            <w:r w:rsidRPr="00022076">
              <w:rPr>
                <w:sz w:val="20"/>
                <w:szCs w:val="20"/>
              </w:rPr>
              <w:t>-0.2</w:t>
            </w:r>
          </w:p>
        </w:tc>
      </w:tr>
      <w:tr w:rsidR="004F0C19" w:rsidTr="004F0C19">
        <w:tc>
          <w:tcPr>
            <w:tcW w:w="672" w:type="pct"/>
            <w:tcBorders>
              <w:bottom w:val="single" w:sz="12" w:space="0" w:color="auto"/>
            </w:tcBorders>
          </w:tcPr>
          <w:p w:rsidR="004F0C19" w:rsidRPr="0054363F" w:rsidRDefault="004F0C19" w:rsidP="004F0C19">
            <w:pPr>
              <w:keepNext/>
              <w:keepLines/>
              <w:rPr>
                <w:sz w:val="20"/>
              </w:rPr>
            </w:pPr>
            <w:r w:rsidRPr="0054363F">
              <w:rPr>
                <w:sz w:val="20"/>
              </w:rPr>
              <w:t>WYCA</w:t>
            </w:r>
          </w:p>
        </w:tc>
        <w:tc>
          <w:tcPr>
            <w:tcW w:w="614" w:type="pct"/>
            <w:tcBorders>
              <w:bottom w:val="single" w:sz="12" w:space="0" w:color="auto"/>
            </w:tcBorders>
          </w:tcPr>
          <w:p w:rsidR="004F0C19" w:rsidRPr="00022076" w:rsidRDefault="004F0C19" w:rsidP="004F0C19">
            <w:pPr>
              <w:jc w:val="right"/>
              <w:rPr>
                <w:color w:val="000000"/>
                <w:sz w:val="20"/>
                <w:szCs w:val="20"/>
              </w:rPr>
            </w:pPr>
            <w:r w:rsidRPr="00022076">
              <w:rPr>
                <w:color w:val="000000"/>
                <w:sz w:val="20"/>
                <w:szCs w:val="20"/>
              </w:rPr>
              <w:t>205,361</w:t>
            </w:r>
          </w:p>
          <w:p w:rsidR="004F0C19" w:rsidRPr="00022076" w:rsidRDefault="004F0C19" w:rsidP="004F0C19">
            <w:pPr>
              <w:keepNext/>
              <w:keepLines/>
              <w:jc w:val="right"/>
              <w:rPr>
                <w:sz w:val="20"/>
                <w:szCs w:val="20"/>
              </w:rPr>
            </w:pPr>
          </w:p>
        </w:tc>
        <w:tc>
          <w:tcPr>
            <w:tcW w:w="538"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14.7</w:t>
            </w:r>
          </w:p>
        </w:tc>
        <w:tc>
          <w:tcPr>
            <w:tcW w:w="636"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8.3</w:t>
            </w:r>
          </w:p>
        </w:tc>
        <w:tc>
          <w:tcPr>
            <w:tcW w:w="436"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11.7</w:t>
            </w:r>
          </w:p>
        </w:tc>
        <w:tc>
          <w:tcPr>
            <w:tcW w:w="384"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9.4</w:t>
            </w:r>
          </w:p>
        </w:tc>
        <w:tc>
          <w:tcPr>
            <w:tcW w:w="690"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0</w:t>
            </w:r>
          </w:p>
        </w:tc>
        <w:tc>
          <w:tcPr>
            <w:tcW w:w="456" w:type="pct"/>
            <w:tcBorders>
              <w:bottom w:val="single" w:sz="12" w:space="0" w:color="auto"/>
            </w:tcBorders>
          </w:tcPr>
          <w:p w:rsidR="004F0C19" w:rsidRPr="00022076" w:rsidRDefault="004F0C19" w:rsidP="004F0C19">
            <w:pPr>
              <w:keepNext/>
              <w:keepLines/>
              <w:jc w:val="right"/>
              <w:rPr>
                <w:sz w:val="20"/>
                <w:szCs w:val="20"/>
              </w:rPr>
            </w:pPr>
            <w:r w:rsidRPr="00022076">
              <w:rPr>
                <w:sz w:val="20"/>
                <w:szCs w:val="20"/>
              </w:rPr>
              <w:t>0</w:t>
            </w:r>
          </w:p>
        </w:tc>
        <w:tc>
          <w:tcPr>
            <w:tcW w:w="574" w:type="pct"/>
            <w:tcBorders>
              <w:bottom w:val="single" w:sz="12" w:space="0" w:color="auto"/>
            </w:tcBorders>
          </w:tcPr>
          <w:p w:rsidR="004F0C19" w:rsidRPr="00022076" w:rsidRDefault="004F0C19" w:rsidP="004F0C19">
            <w:pPr>
              <w:keepNext/>
              <w:keepLines/>
              <w:jc w:val="right"/>
              <w:rPr>
                <w:b/>
                <w:sz w:val="20"/>
                <w:szCs w:val="20"/>
              </w:rPr>
            </w:pPr>
            <w:r w:rsidRPr="00022076">
              <w:rPr>
                <w:b/>
                <w:sz w:val="20"/>
                <w:szCs w:val="20"/>
              </w:rPr>
              <w:t>9.4</w:t>
            </w:r>
          </w:p>
        </w:tc>
      </w:tr>
      <w:tr w:rsidR="004F0C19" w:rsidTr="004F0C19">
        <w:tc>
          <w:tcPr>
            <w:tcW w:w="672" w:type="pct"/>
            <w:tcBorders>
              <w:top w:val="single" w:sz="12" w:space="0" w:color="auto"/>
              <w:bottom w:val="single" w:sz="12" w:space="0" w:color="auto"/>
            </w:tcBorders>
            <w:shd w:val="clear" w:color="auto" w:fill="C6D9F1"/>
          </w:tcPr>
          <w:p w:rsidR="004F0C19" w:rsidRPr="0054363F" w:rsidRDefault="004F0C19" w:rsidP="004F0C19">
            <w:pPr>
              <w:keepNext/>
              <w:keepLines/>
              <w:rPr>
                <w:b/>
                <w:sz w:val="20"/>
              </w:rPr>
            </w:pPr>
            <w:r w:rsidRPr="0054363F">
              <w:rPr>
                <w:b/>
                <w:sz w:val="20"/>
              </w:rPr>
              <w:t>PTE average</w:t>
            </w:r>
          </w:p>
        </w:tc>
        <w:tc>
          <w:tcPr>
            <w:tcW w:w="614" w:type="pct"/>
            <w:tcBorders>
              <w:top w:val="single" w:sz="12" w:space="0" w:color="auto"/>
              <w:bottom w:val="single" w:sz="12" w:space="0" w:color="auto"/>
            </w:tcBorders>
            <w:shd w:val="clear" w:color="auto" w:fill="C6D9F1"/>
          </w:tcPr>
          <w:p w:rsidR="004F0C19" w:rsidRPr="00022076" w:rsidRDefault="004F0C19" w:rsidP="004F0C19">
            <w:pPr>
              <w:jc w:val="right"/>
              <w:rPr>
                <w:color w:val="000000"/>
                <w:sz w:val="20"/>
                <w:szCs w:val="20"/>
              </w:rPr>
            </w:pPr>
            <w:r w:rsidRPr="00022076">
              <w:rPr>
                <w:color w:val="000000"/>
                <w:sz w:val="20"/>
                <w:szCs w:val="20"/>
              </w:rPr>
              <w:t>1,364,300</w:t>
            </w:r>
          </w:p>
          <w:p w:rsidR="004F0C19" w:rsidRPr="00022076" w:rsidRDefault="004F0C19" w:rsidP="004F0C19">
            <w:pPr>
              <w:keepNext/>
              <w:keepLines/>
              <w:jc w:val="right"/>
              <w:rPr>
                <w:sz w:val="20"/>
                <w:szCs w:val="20"/>
              </w:rPr>
            </w:pPr>
          </w:p>
        </w:tc>
        <w:tc>
          <w:tcPr>
            <w:tcW w:w="538"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13.7</w:t>
            </w:r>
          </w:p>
        </w:tc>
        <w:tc>
          <w:tcPr>
            <w:tcW w:w="6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b/>
                <w:sz w:val="20"/>
                <w:szCs w:val="20"/>
              </w:rPr>
            </w:pPr>
            <w:r w:rsidRPr="00022076">
              <w:rPr>
                <w:b/>
                <w:sz w:val="20"/>
                <w:szCs w:val="20"/>
              </w:rPr>
              <w:t>8.1</w:t>
            </w:r>
          </w:p>
        </w:tc>
        <w:tc>
          <w:tcPr>
            <w:tcW w:w="4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b/>
                <w:sz w:val="20"/>
                <w:szCs w:val="20"/>
              </w:rPr>
            </w:pPr>
            <w:r w:rsidRPr="00022076">
              <w:rPr>
                <w:b/>
                <w:sz w:val="20"/>
                <w:szCs w:val="20"/>
              </w:rPr>
              <w:t>9.7</w:t>
            </w:r>
          </w:p>
        </w:tc>
        <w:tc>
          <w:tcPr>
            <w:tcW w:w="38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7.8</w:t>
            </w:r>
          </w:p>
        </w:tc>
        <w:tc>
          <w:tcPr>
            <w:tcW w:w="690"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5.0</w:t>
            </w:r>
          </w:p>
        </w:tc>
        <w:tc>
          <w:tcPr>
            <w:tcW w:w="45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64</w:t>
            </w:r>
          </w:p>
        </w:tc>
        <w:tc>
          <w:tcPr>
            <w:tcW w:w="57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2.8</w:t>
            </w:r>
          </w:p>
        </w:tc>
      </w:tr>
      <w:tr w:rsidR="004F0C19" w:rsidTr="004F0C19">
        <w:tc>
          <w:tcPr>
            <w:tcW w:w="672" w:type="pct"/>
            <w:tcBorders>
              <w:top w:val="single" w:sz="12" w:space="0" w:color="auto"/>
              <w:bottom w:val="single" w:sz="12" w:space="0" w:color="auto"/>
            </w:tcBorders>
            <w:shd w:val="clear" w:color="auto" w:fill="C6D9F1"/>
          </w:tcPr>
          <w:p w:rsidR="004F0C19" w:rsidRPr="0054363F" w:rsidRDefault="004F0C19" w:rsidP="004F0C19">
            <w:pPr>
              <w:keepNext/>
              <w:keepLines/>
              <w:rPr>
                <w:b/>
                <w:sz w:val="20"/>
              </w:rPr>
            </w:pPr>
            <w:r w:rsidRPr="0054363F">
              <w:rPr>
                <w:b/>
                <w:sz w:val="20"/>
              </w:rPr>
              <w:t xml:space="preserve">GB </w:t>
            </w:r>
            <w:r>
              <w:rPr>
                <w:b/>
                <w:sz w:val="20"/>
              </w:rPr>
              <w:t>exc.</w:t>
            </w:r>
            <w:r w:rsidRPr="0054363F">
              <w:rPr>
                <w:b/>
                <w:sz w:val="20"/>
              </w:rPr>
              <w:t xml:space="preserve"> Lond</w:t>
            </w:r>
            <w:r>
              <w:rPr>
                <w:b/>
                <w:sz w:val="20"/>
              </w:rPr>
              <w:t>on</w:t>
            </w:r>
            <w:r w:rsidRPr="0054363F">
              <w:rPr>
                <w:b/>
                <w:sz w:val="20"/>
              </w:rPr>
              <w:t xml:space="preserve"> and PTE</w:t>
            </w:r>
            <w:r>
              <w:rPr>
                <w:b/>
                <w:sz w:val="20"/>
              </w:rPr>
              <w:t>s</w:t>
            </w:r>
          </w:p>
        </w:tc>
        <w:tc>
          <w:tcPr>
            <w:tcW w:w="614" w:type="pct"/>
            <w:tcBorders>
              <w:top w:val="single" w:sz="12" w:space="0" w:color="auto"/>
              <w:bottom w:val="single" w:sz="12" w:space="0" w:color="auto"/>
            </w:tcBorders>
            <w:shd w:val="clear" w:color="auto" w:fill="C6D9F1"/>
          </w:tcPr>
          <w:p w:rsidR="004F0C19" w:rsidRPr="00022076" w:rsidRDefault="004F0C19" w:rsidP="004F0C19">
            <w:pPr>
              <w:jc w:val="right"/>
              <w:rPr>
                <w:color w:val="000000"/>
                <w:sz w:val="20"/>
                <w:szCs w:val="20"/>
              </w:rPr>
            </w:pPr>
            <w:r w:rsidRPr="00022076">
              <w:rPr>
                <w:color w:val="000000"/>
                <w:sz w:val="20"/>
                <w:szCs w:val="20"/>
              </w:rPr>
              <w:t>2,277,941</w:t>
            </w:r>
          </w:p>
          <w:p w:rsidR="004F0C19" w:rsidRPr="00022076" w:rsidRDefault="004F0C19" w:rsidP="004F0C19">
            <w:pPr>
              <w:keepNext/>
              <w:keepLines/>
              <w:jc w:val="right"/>
              <w:rPr>
                <w:sz w:val="20"/>
                <w:szCs w:val="20"/>
              </w:rPr>
            </w:pPr>
          </w:p>
        </w:tc>
        <w:tc>
          <w:tcPr>
            <w:tcW w:w="538"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13.9</w:t>
            </w:r>
          </w:p>
        </w:tc>
        <w:tc>
          <w:tcPr>
            <w:tcW w:w="6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b/>
                <w:sz w:val="20"/>
                <w:szCs w:val="20"/>
              </w:rPr>
            </w:pPr>
            <w:r w:rsidRPr="00022076">
              <w:rPr>
                <w:b/>
                <w:sz w:val="20"/>
                <w:szCs w:val="20"/>
              </w:rPr>
              <w:t>7.5</w:t>
            </w:r>
          </w:p>
        </w:tc>
        <w:tc>
          <w:tcPr>
            <w:tcW w:w="4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7.3</w:t>
            </w:r>
          </w:p>
        </w:tc>
        <w:tc>
          <w:tcPr>
            <w:tcW w:w="38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5.7</w:t>
            </w:r>
          </w:p>
        </w:tc>
        <w:tc>
          <w:tcPr>
            <w:tcW w:w="690"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2.6</w:t>
            </w:r>
          </w:p>
        </w:tc>
        <w:tc>
          <w:tcPr>
            <w:tcW w:w="45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46</w:t>
            </w:r>
          </w:p>
        </w:tc>
        <w:tc>
          <w:tcPr>
            <w:tcW w:w="57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3.1</w:t>
            </w:r>
          </w:p>
        </w:tc>
      </w:tr>
      <w:tr w:rsidR="004F0C19" w:rsidTr="004F0C19">
        <w:tc>
          <w:tcPr>
            <w:tcW w:w="672" w:type="pct"/>
            <w:tcBorders>
              <w:top w:val="single" w:sz="12" w:space="0" w:color="auto"/>
              <w:bottom w:val="single" w:sz="12" w:space="0" w:color="auto"/>
            </w:tcBorders>
            <w:shd w:val="clear" w:color="auto" w:fill="C6D9F1"/>
          </w:tcPr>
          <w:p w:rsidR="004F0C19" w:rsidRPr="0054363F" w:rsidRDefault="004F0C19" w:rsidP="004F0C19">
            <w:pPr>
              <w:keepNext/>
              <w:keepLines/>
              <w:rPr>
                <w:b/>
                <w:sz w:val="20"/>
              </w:rPr>
            </w:pPr>
            <w:r w:rsidRPr="0054363F">
              <w:rPr>
                <w:b/>
                <w:sz w:val="20"/>
              </w:rPr>
              <w:t>London</w:t>
            </w:r>
          </w:p>
        </w:tc>
        <w:tc>
          <w:tcPr>
            <w:tcW w:w="614" w:type="pct"/>
            <w:tcBorders>
              <w:top w:val="single" w:sz="12" w:space="0" w:color="auto"/>
              <w:bottom w:val="single" w:sz="12" w:space="0" w:color="auto"/>
            </w:tcBorders>
            <w:shd w:val="clear" w:color="auto" w:fill="C6D9F1"/>
          </w:tcPr>
          <w:p w:rsidR="004F0C19" w:rsidRPr="00022076" w:rsidRDefault="004F0C19" w:rsidP="004F0C19">
            <w:pPr>
              <w:jc w:val="right"/>
              <w:rPr>
                <w:color w:val="000000"/>
                <w:sz w:val="20"/>
                <w:szCs w:val="20"/>
              </w:rPr>
            </w:pPr>
            <w:r w:rsidRPr="00022076">
              <w:rPr>
                <w:color w:val="000000"/>
                <w:sz w:val="20"/>
                <w:szCs w:val="20"/>
              </w:rPr>
              <w:t>1,707,664</w:t>
            </w:r>
          </w:p>
          <w:p w:rsidR="004F0C19" w:rsidRPr="00022076" w:rsidRDefault="004F0C19" w:rsidP="004F0C19">
            <w:pPr>
              <w:jc w:val="right"/>
              <w:rPr>
                <w:color w:val="000000"/>
                <w:sz w:val="20"/>
                <w:szCs w:val="20"/>
              </w:rPr>
            </w:pPr>
          </w:p>
        </w:tc>
        <w:tc>
          <w:tcPr>
            <w:tcW w:w="538" w:type="pct"/>
            <w:tcBorders>
              <w:top w:val="single" w:sz="12" w:space="0" w:color="auto"/>
              <w:bottom w:val="single" w:sz="12" w:space="0" w:color="auto"/>
            </w:tcBorders>
            <w:shd w:val="clear" w:color="auto" w:fill="C6D9F1"/>
          </w:tcPr>
          <w:p w:rsidR="004F0C19" w:rsidRPr="00022076" w:rsidDel="00A03861" w:rsidRDefault="004F0C19" w:rsidP="004F0C19">
            <w:pPr>
              <w:keepNext/>
              <w:keepLines/>
              <w:jc w:val="right"/>
              <w:rPr>
                <w:sz w:val="20"/>
                <w:szCs w:val="20"/>
              </w:rPr>
            </w:pPr>
            <w:r w:rsidRPr="00022076">
              <w:rPr>
                <w:sz w:val="20"/>
                <w:szCs w:val="20"/>
              </w:rPr>
              <w:t>7.6</w:t>
            </w:r>
          </w:p>
        </w:tc>
        <w:tc>
          <w:tcPr>
            <w:tcW w:w="6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b/>
                <w:sz w:val="20"/>
                <w:szCs w:val="20"/>
              </w:rPr>
            </w:pPr>
            <w:r w:rsidRPr="00022076">
              <w:rPr>
                <w:b/>
                <w:sz w:val="20"/>
                <w:szCs w:val="20"/>
              </w:rPr>
              <w:t>4.1</w:t>
            </w:r>
          </w:p>
        </w:tc>
        <w:tc>
          <w:tcPr>
            <w:tcW w:w="43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3.0</w:t>
            </w:r>
          </w:p>
        </w:tc>
        <w:tc>
          <w:tcPr>
            <w:tcW w:w="38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2.3</w:t>
            </w:r>
          </w:p>
        </w:tc>
        <w:tc>
          <w:tcPr>
            <w:tcW w:w="690"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2.1</w:t>
            </w:r>
          </w:p>
        </w:tc>
        <w:tc>
          <w:tcPr>
            <w:tcW w:w="456"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91</w:t>
            </w:r>
          </w:p>
        </w:tc>
        <w:tc>
          <w:tcPr>
            <w:tcW w:w="574" w:type="pct"/>
            <w:tcBorders>
              <w:top w:val="single" w:sz="12" w:space="0" w:color="auto"/>
              <w:bottom w:val="single" w:sz="12" w:space="0" w:color="auto"/>
            </w:tcBorders>
            <w:shd w:val="clear" w:color="auto" w:fill="C6D9F1"/>
          </w:tcPr>
          <w:p w:rsidR="004F0C19" w:rsidRPr="00022076" w:rsidRDefault="004F0C19" w:rsidP="004F0C19">
            <w:pPr>
              <w:keepNext/>
              <w:keepLines/>
              <w:jc w:val="right"/>
              <w:rPr>
                <w:sz w:val="20"/>
                <w:szCs w:val="20"/>
              </w:rPr>
            </w:pPr>
            <w:r w:rsidRPr="00022076">
              <w:rPr>
                <w:sz w:val="20"/>
                <w:szCs w:val="20"/>
              </w:rPr>
              <w:t>0.2</w:t>
            </w:r>
          </w:p>
        </w:tc>
      </w:tr>
    </w:tbl>
    <w:p w:rsidR="004F0C19" w:rsidRDefault="004F0C19" w:rsidP="004F0C19">
      <w:pPr>
        <w:keepNext/>
        <w:keepLines/>
      </w:pPr>
      <w:r>
        <w:t xml:space="preserve">Our figures show that pre and post-tax profit levels are often higher than operating profit. This is unusual as it implies that many </w:t>
      </w:r>
      <w:proofErr w:type="gramStart"/>
      <w:r>
        <w:t>companies,</w:t>
      </w:r>
      <w:proofErr w:type="gramEnd"/>
      <w:r>
        <w:t xml:space="preserve"> particularly in PTE areas are making a substantial amount of money outside of their direct operations as a bus company. This is largely coming from interest received on past loans, possibly to other parts of the operating group (though not enough information is disclosed in company accounts to verify this hypothesis).</w:t>
      </w:r>
    </w:p>
    <w:p w:rsidR="004F0C19" w:rsidRDefault="004F0C19" w:rsidP="004F0C19">
      <w:pPr>
        <w:keepNext/>
        <w:keepLines/>
      </w:pPr>
      <w:r>
        <w:t>One argument often made by transport owning groups is that robust profits are the sign of a healthy business and that profits are necessary to fund future growth. However, our analysis shows that whilst the level of profit is relatively high in PTE areas, the majority of this is not invested back into the business, with the level of dividends paid to shareholders being almost double the national average and two and a half times the London average.</w:t>
      </w:r>
    </w:p>
    <w:p w:rsidR="004F0C19" w:rsidRDefault="004F0C19" w:rsidP="004F0C19">
      <w:pPr>
        <w:keepNext/>
        <w:keepLines/>
      </w:pPr>
      <w:r>
        <w:lastRenderedPageBreak/>
        <w:t>In the latest year of accounts, WYCA has a very high level of retained profit. This is because no companies paid dividends in the last year. As the following sections will show, this is not the trend for the area, with the ten year average dividends being at the high end for the sample.</w:t>
      </w:r>
    </w:p>
    <w:p w:rsidR="004F0C19" w:rsidRPr="006959E3" w:rsidRDefault="004F0C19" w:rsidP="004F0C19">
      <w:pPr>
        <w:pStyle w:val="Heading1"/>
      </w:pPr>
      <w:bookmarkStart w:id="6" w:name="_Toc400707004"/>
      <w:r>
        <w:t>Ten-</w:t>
      </w:r>
      <w:r w:rsidRPr="006959E3">
        <w:t>year trend</w:t>
      </w:r>
      <w:bookmarkEnd w:id="6"/>
    </w:p>
    <w:p w:rsidR="004F0C19" w:rsidRDefault="004F0C19" w:rsidP="004F0C19">
      <w:r>
        <w:t xml:space="preserve">In discussing profitability it’s common to focus on the latest available year since this is seen as the most relevant indicator of operator behaviour and market conditions. However, a one-year analysis can be skewed by one-off evens or accounting decisions and </w:t>
      </w:r>
      <w:proofErr w:type="gramStart"/>
      <w:r>
        <w:t>may</w:t>
      </w:r>
      <w:proofErr w:type="gramEnd"/>
      <w:r>
        <w:t>, in some cases, be a poor proxy for a business’s steady state performance. We therefore show average financial indicators for the last ten years for whi</w:t>
      </w:r>
      <w:r w:rsidR="002F48D8">
        <w:t>ch data is available in figure three</w:t>
      </w:r>
      <w:r>
        <w:t xml:space="preserve">. </w:t>
      </w:r>
    </w:p>
    <w:p w:rsidR="004F0C19" w:rsidRDefault="004F0C19" w:rsidP="004F0C19">
      <w:pPr>
        <w:keepNext/>
        <w:keepLines/>
        <w:rPr>
          <w:b/>
        </w:rPr>
      </w:pPr>
      <w:proofErr w:type="gramStart"/>
      <w:r>
        <w:rPr>
          <w:b/>
        </w:rPr>
        <w:t>Figure 3</w:t>
      </w:r>
      <w:r w:rsidRPr="009D040C">
        <w:rPr>
          <w:b/>
        </w:rPr>
        <w:t>.</w:t>
      </w:r>
      <w:proofErr w:type="gramEnd"/>
      <w:r w:rsidRPr="009D040C">
        <w:rPr>
          <w:b/>
        </w:rPr>
        <w:t xml:space="preserve"> </w:t>
      </w:r>
      <w:r>
        <w:rPr>
          <w:b/>
        </w:rPr>
        <w:t>A</w:t>
      </w:r>
      <w:r w:rsidRPr="009D040C">
        <w:rPr>
          <w:b/>
        </w:rPr>
        <w:t>verage bus company profitability</w:t>
      </w:r>
      <w:r>
        <w:rPr>
          <w:b/>
        </w:rPr>
        <w:t xml:space="preserve"> by area - t</w:t>
      </w:r>
      <w:r w:rsidRPr="009D040C">
        <w:rPr>
          <w:b/>
        </w:rPr>
        <w:t xml:space="preserve">en year averages </w:t>
      </w:r>
      <w:r>
        <w:rPr>
          <w:b/>
        </w:rPr>
        <w:t>(as % of turnover except where stated)</w:t>
      </w:r>
    </w:p>
    <w:tbl>
      <w:tblPr>
        <w:tblStyle w:val="TableGrid"/>
        <w:tblW w:w="5000" w:type="pct"/>
        <w:tblLook w:val="04A0" w:firstRow="1" w:lastRow="0" w:firstColumn="1" w:lastColumn="0" w:noHBand="0" w:noVBand="1"/>
      </w:tblPr>
      <w:tblGrid>
        <w:gridCol w:w="1150"/>
        <w:gridCol w:w="1217"/>
        <w:gridCol w:w="961"/>
        <w:gridCol w:w="1161"/>
        <w:gridCol w:w="996"/>
        <w:gridCol w:w="809"/>
        <w:gridCol w:w="1182"/>
        <w:gridCol w:w="705"/>
        <w:gridCol w:w="1061"/>
      </w:tblGrid>
      <w:tr w:rsidR="004F0C19" w:rsidTr="004F0C19">
        <w:tc>
          <w:tcPr>
            <w:tcW w:w="620" w:type="pct"/>
            <w:tcBorders>
              <w:bottom w:val="single" w:sz="12" w:space="0" w:color="auto"/>
            </w:tcBorders>
          </w:tcPr>
          <w:p w:rsidR="004F0C19" w:rsidRPr="006959E3" w:rsidRDefault="004F0C19" w:rsidP="004F0C19">
            <w:pPr>
              <w:keepNext/>
              <w:keepLines/>
              <w:rPr>
                <w:b/>
                <w:sz w:val="20"/>
                <w:szCs w:val="20"/>
              </w:rPr>
            </w:pPr>
            <w:r w:rsidRPr="006959E3">
              <w:rPr>
                <w:b/>
                <w:sz w:val="20"/>
                <w:szCs w:val="20"/>
              </w:rPr>
              <w:t>Area</w:t>
            </w:r>
          </w:p>
        </w:tc>
        <w:tc>
          <w:tcPr>
            <w:tcW w:w="623"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Turnover (£000s)</w:t>
            </w:r>
          </w:p>
        </w:tc>
        <w:tc>
          <w:tcPr>
            <w:tcW w:w="524"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EBITDA</w:t>
            </w:r>
          </w:p>
        </w:tc>
        <w:tc>
          <w:tcPr>
            <w:tcW w:w="647"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Operating Profit</w:t>
            </w:r>
          </w:p>
        </w:tc>
        <w:tc>
          <w:tcPr>
            <w:tcW w:w="553"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Pre-tax profit</w:t>
            </w:r>
          </w:p>
        </w:tc>
        <w:tc>
          <w:tcPr>
            <w:tcW w:w="452"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Post-tax profit</w:t>
            </w:r>
          </w:p>
        </w:tc>
        <w:tc>
          <w:tcPr>
            <w:tcW w:w="653"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Dividends paid</w:t>
            </w:r>
          </w:p>
        </w:tc>
        <w:tc>
          <w:tcPr>
            <w:tcW w:w="350" w:type="pct"/>
            <w:tcBorders>
              <w:bottom w:val="single" w:sz="12" w:space="0" w:color="auto"/>
            </w:tcBorders>
          </w:tcPr>
          <w:p w:rsidR="004F0C19" w:rsidRPr="006959E3" w:rsidRDefault="004F0C19" w:rsidP="004F0C19">
            <w:pPr>
              <w:keepNext/>
              <w:keepLines/>
              <w:jc w:val="right"/>
              <w:rPr>
                <w:b/>
                <w:sz w:val="20"/>
                <w:szCs w:val="20"/>
              </w:rPr>
            </w:pPr>
            <w:proofErr w:type="spellStart"/>
            <w:r w:rsidRPr="006959E3">
              <w:rPr>
                <w:b/>
                <w:sz w:val="20"/>
                <w:szCs w:val="20"/>
              </w:rPr>
              <w:t>Div</w:t>
            </w:r>
            <w:proofErr w:type="spellEnd"/>
            <w:r w:rsidRPr="006959E3">
              <w:rPr>
                <w:b/>
                <w:sz w:val="20"/>
                <w:szCs w:val="20"/>
              </w:rPr>
              <w:t xml:space="preserve"> as % of post-tax prof</w:t>
            </w:r>
          </w:p>
        </w:tc>
        <w:tc>
          <w:tcPr>
            <w:tcW w:w="578" w:type="pct"/>
            <w:tcBorders>
              <w:bottom w:val="single" w:sz="12" w:space="0" w:color="auto"/>
            </w:tcBorders>
          </w:tcPr>
          <w:p w:rsidR="004F0C19" w:rsidRPr="006959E3" w:rsidRDefault="004F0C19" w:rsidP="004F0C19">
            <w:pPr>
              <w:keepNext/>
              <w:keepLines/>
              <w:jc w:val="right"/>
              <w:rPr>
                <w:b/>
                <w:sz w:val="20"/>
                <w:szCs w:val="20"/>
              </w:rPr>
            </w:pPr>
            <w:r w:rsidRPr="006959E3">
              <w:rPr>
                <w:b/>
                <w:sz w:val="20"/>
                <w:szCs w:val="20"/>
              </w:rPr>
              <w:t>Retained Profit</w:t>
            </w:r>
          </w:p>
        </w:tc>
      </w:tr>
      <w:tr w:rsidR="004F0C19" w:rsidTr="004F0C19">
        <w:tc>
          <w:tcPr>
            <w:tcW w:w="620" w:type="pct"/>
            <w:tcBorders>
              <w:top w:val="single" w:sz="12" w:space="0" w:color="auto"/>
            </w:tcBorders>
          </w:tcPr>
          <w:p w:rsidR="004F0C19" w:rsidRPr="006959E3" w:rsidRDefault="004F0C19" w:rsidP="004F0C19">
            <w:pPr>
              <w:keepNext/>
              <w:keepLines/>
              <w:jc w:val="right"/>
              <w:rPr>
                <w:sz w:val="20"/>
                <w:szCs w:val="20"/>
              </w:rPr>
            </w:pPr>
            <w:r>
              <w:rPr>
                <w:sz w:val="20"/>
                <w:szCs w:val="20"/>
              </w:rPr>
              <w:t>Centro</w:t>
            </w:r>
          </w:p>
        </w:tc>
        <w:tc>
          <w:tcPr>
            <w:tcW w:w="623" w:type="pct"/>
            <w:tcBorders>
              <w:top w:val="single" w:sz="12" w:space="0" w:color="auto"/>
            </w:tcBorders>
          </w:tcPr>
          <w:p w:rsidR="004F0C19" w:rsidRPr="006959E3" w:rsidRDefault="004F0C19" w:rsidP="004F0C19">
            <w:pPr>
              <w:keepNext/>
              <w:keepLines/>
              <w:jc w:val="right"/>
              <w:rPr>
                <w:color w:val="000000"/>
                <w:sz w:val="20"/>
                <w:szCs w:val="20"/>
              </w:rPr>
            </w:pPr>
            <w:r w:rsidRPr="006959E3">
              <w:rPr>
                <w:color w:val="000000"/>
                <w:sz w:val="20"/>
                <w:szCs w:val="20"/>
              </w:rPr>
              <w:t>3,139,898</w:t>
            </w:r>
          </w:p>
          <w:p w:rsidR="004F0C19" w:rsidRPr="006959E3" w:rsidRDefault="004F0C19" w:rsidP="004F0C19">
            <w:pPr>
              <w:keepNext/>
              <w:keepLines/>
              <w:jc w:val="right"/>
              <w:rPr>
                <w:sz w:val="20"/>
                <w:szCs w:val="20"/>
              </w:rPr>
            </w:pPr>
          </w:p>
        </w:tc>
        <w:tc>
          <w:tcPr>
            <w:tcW w:w="524"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15.5</w:t>
            </w:r>
          </w:p>
        </w:tc>
        <w:tc>
          <w:tcPr>
            <w:tcW w:w="647"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10.2</w:t>
            </w:r>
          </w:p>
        </w:tc>
        <w:tc>
          <w:tcPr>
            <w:tcW w:w="553"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10.7</w:t>
            </w:r>
          </w:p>
        </w:tc>
        <w:tc>
          <w:tcPr>
            <w:tcW w:w="452"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8.3</w:t>
            </w:r>
          </w:p>
        </w:tc>
        <w:tc>
          <w:tcPr>
            <w:tcW w:w="653"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6.3</w:t>
            </w:r>
          </w:p>
        </w:tc>
        <w:tc>
          <w:tcPr>
            <w:tcW w:w="350"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76</w:t>
            </w:r>
          </w:p>
        </w:tc>
        <w:tc>
          <w:tcPr>
            <w:tcW w:w="578" w:type="pct"/>
            <w:tcBorders>
              <w:top w:val="single" w:sz="12" w:space="0" w:color="auto"/>
            </w:tcBorders>
          </w:tcPr>
          <w:p w:rsidR="004F0C19" w:rsidRPr="006959E3" w:rsidRDefault="004F0C19" w:rsidP="004F0C19">
            <w:pPr>
              <w:keepNext/>
              <w:keepLines/>
              <w:jc w:val="right"/>
              <w:rPr>
                <w:sz w:val="20"/>
                <w:szCs w:val="20"/>
              </w:rPr>
            </w:pPr>
            <w:r w:rsidRPr="006959E3">
              <w:rPr>
                <w:sz w:val="20"/>
                <w:szCs w:val="20"/>
              </w:rPr>
              <w:t>2.0</w:t>
            </w:r>
          </w:p>
        </w:tc>
      </w:tr>
      <w:tr w:rsidR="004F0C19" w:rsidTr="004F0C19">
        <w:tc>
          <w:tcPr>
            <w:tcW w:w="620" w:type="pct"/>
          </w:tcPr>
          <w:p w:rsidR="004F0C19" w:rsidRPr="006959E3" w:rsidRDefault="004F0C19" w:rsidP="004F0C19">
            <w:pPr>
              <w:keepNext/>
              <w:keepLines/>
              <w:jc w:val="right"/>
              <w:rPr>
                <w:sz w:val="20"/>
                <w:szCs w:val="20"/>
              </w:rPr>
            </w:pPr>
            <w:r w:rsidRPr="006959E3">
              <w:rPr>
                <w:sz w:val="20"/>
                <w:szCs w:val="20"/>
              </w:rPr>
              <w:t>Mersey-travel</w:t>
            </w:r>
          </w:p>
        </w:tc>
        <w:tc>
          <w:tcPr>
            <w:tcW w:w="623" w:type="pct"/>
          </w:tcPr>
          <w:p w:rsidR="004F0C19" w:rsidRPr="006959E3" w:rsidRDefault="004F0C19" w:rsidP="004F0C19">
            <w:pPr>
              <w:keepNext/>
              <w:keepLines/>
              <w:jc w:val="right"/>
              <w:rPr>
                <w:color w:val="000000"/>
                <w:sz w:val="20"/>
                <w:szCs w:val="20"/>
              </w:rPr>
            </w:pPr>
            <w:r w:rsidRPr="006959E3">
              <w:rPr>
                <w:color w:val="000000"/>
                <w:sz w:val="20"/>
                <w:szCs w:val="20"/>
              </w:rPr>
              <w:t>1,296,711</w:t>
            </w:r>
          </w:p>
          <w:p w:rsidR="004F0C19" w:rsidRPr="006959E3" w:rsidRDefault="004F0C19" w:rsidP="004F0C19">
            <w:pPr>
              <w:keepNext/>
              <w:keepLines/>
              <w:jc w:val="right"/>
              <w:rPr>
                <w:sz w:val="20"/>
                <w:szCs w:val="20"/>
              </w:rPr>
            </w:pPr>
          </w:p>
        </w:tc>
        <w:tc>
          <w:tcPr>
            <w:tcW w:w="524" w:type="pct"/>
          </w:tcPr>
          <w:p w:rsidR="004F0C19" w:rsidRPr="006959E3" w:rsidRDefault="004F0C19" w:rsidP="004F0C19">
            <w:pPr>
              <w:keepNext/>
              <w:keepLines/>
              <w:jc w:val="right"/>
              <w:rPr>
                <w:sz w:val="20"/>
                <w:szCs w:val="20"/>
              </w:rPr>
            </w:pPr>
            <w:r w:rsidRPr="006959E3">
              <w:rPr>
                <w:sz w:val="20"/>
                <w:szCs w:val="20"/>
              </w:rPr>
              <w:t>7.9</w:t>
            </w:r>
          </w:p>
        </w:tc>
        <w:tc>
          <w:tcPr>
            <w:tcW w:w="647" w:type="pct"/>
          </w:tcPr>
          <w:p w:rsidR="004F0C19" w:rsidRPr="006959E3" w:rsidRDefault="004F0C19" w:rsidP="004F0C19">
            <w:pPr>
              <w:keepNext/>
              <w:keepLines/>
              <w:jc w:val="right"/>
              <w:rPr>
                <w:sz w:val="20"/>
                <w:szCs w:val="20"/>
              </w:rPr>
            </w:pPr>
            <w:r w:rsidRPr="006959E3">
              <w:rPr>
                <w:sz w:val="20"/>
                <w:szCs w:val="20"/>
              </w:rPr>
              <w:t>2.7</w:t>
            </w:r>
          </w:p>
        </w:tc>
        <w:tc>
          <w:tcPr>
            <w:tcW w:w="553" w:type="pct"/>
          </w:tcPr>
          <w:p w:rsidR="004F0C19" w:rsidRPr="006959E3" w:rsidRDefault="004F0C19" w:rsidP="004F0C19">
            <w:pPr>
              <w:keepNext/>
              <w:keepLines/>
              <w:jc w:val="right"/>
              <w:rPr>
                <w:sz w:val="20"/>
                <w:szCs w:val="20"/>
              </w:rPr>
            </w:pPr>
            <w:r w:rsidRPr="006959E3">
              <w:rPr>
                <w:sz w:val="20"/>
                <w:szCs w:val="20"/>
              </w:rPr>
              <w:t>5.3</w:t>
            </w:r>
          </w:p>
        </w:tc>
        <w:tc>
          <w:tcPr>
            <w:tcW w:w="452" w:type="pct"/>
          </w:tcPr>
          <w:p w:rsidR="004F0C19" w:rsidRPr="006959E3" w:rsidRDefault="004F0C19" w:rsidP="004F0C19">
            <w:pPr>
              <w:keepNext/>
              <w:keepLines/>
              <w:jc w:val="right"/>
              <w:rPr>
                <w:sz w:val="20"/>
                <w:szCs w:val="20"/>
              </w:rPr>
            </w:pPr>
            <w:r w:rsidRPr="006959E3">
              <w:rPr>
                <w:sz w:val="20"/>
                <w:szCs w:val="20"/>
              </w:rPr>
              <w:t>4.6</w:t>
            </w:r>
          </w:p>
        </w:tc>
        <w:tc>
          <w:tcPr>
            <w:tcW w:w="653" w:type="pct"/>
          </w:tcPr>
          <w:p w:rsidR="004F0C19" w:rsidRPr="006959E3" w:rsidRDefault="004F0C19" w:rsidP="004F0C19">
            <w:pPr>
              <w:keepNext/>
              <w:keepLines/>
              <w:jc w:val="right"/>
              <w:rPr>
                <w:sz w:val="20"/>
                <w:szCs w:val="20"/>
              </w:rPr>
            </w:pPr>
            <w:r w:rsidRPr="006959E3">
              <w:rPr>
                <w:sz w:val="20"/>
                <w:szCs w:val="20"/>
              </w:rPr>
              <w:t>2.7</w:t>
            </w:r>
          </w:p>
        </w:tc>
        <w:tc>
          <w:tcPr>
            <w:tcW w:w="350" w:type="pct"/>
          </w:tcPr>
          <w:p w:rsidR="004F0C19" w:rsidRPr="006959E3" w:rsidRDefault="004F0C19" w:rsidP="004F0C19">
            <w:pPr>
              <w:keepNext/>
              <w:keepLines/>
              <w:jc w:val="right"/>
              <w:rPr>
                <w:sz w:val="20"/>
                <w:szCs w:val="20"/>
              </w:rPr>
            </w:pPr>
            <w:r w:rsidRPr="006959E3">
              <w:rPr>
                <w:sz w:val="20"/>
                <w:szCs w:val="20"/>
              </w:rPr>
              <w:t>59</w:t>
            </w:r>
          </w:p>
        </w:tc>
        <w:tc>
          <w:tcPr>
            <w:tcW w:w="578" w:type="pct"/>
          </w:tcPr>
          <w:p w:rsidR="004F0C19" w:rsidRPr="006959E3" w:rsidRDefault="004F0C19" w:rsidP="004F0C19">
            <w:pPr>
              <w:keepNext/>
              <w:keepLines/>
              <w:jc w:val="right"/>
              <w:rPr>
                <w:sz w:val="20"/>
                <w:szCs w:val="20"/>
              </w:rPr>
            </w:pPr>
            <w:r w:rsidRPr="006959E3">
              <w:rPr>
                <w:sz w:val="20"/>
                <w:szCs w:val="20"/>
              </w:rPr>
              <w:t>1.9</w:t>
            </w:r>
          </w:p>
        </w:tc>
      </w:tr>
      <w:tr w:rsidR="004F0C19" w:rsidTr="004F0C19">
        <w:tc>
          <w:tcPr>
            <w:tcW w:w="620" w:type="pct"/>
          </w:tcPr>
          <w:p w:rsidR="004F0C19" w:rsidRPr="006959E3" w:rsidRDefault="004F0C19" w:rsidP="004F0C19">
            <w:pPr>
              <w:keepNext/>
              <w:keepLines/>
              <w:jc w:val="right"/>
              <w:rPr>
                <w:sz w:val="20"/>
                <w:szCs w:val="20"/>
              </w:rPr>
            </w:pPr>
            <w:r>
              <w:rPr>
                <w:sz w:val="20"/>
                <w:szCs w:val="20"/>
              </w:rPr>
              <w:t>Nexus</w:t>
            </w:r>
          </w:p>
        </w:tc>
        <w:tc>
          <w:tcPr>
            <w:tcW w:w="623" w:type="pct"/>
          </w:tcPr>
          <w:p w:rsidR="004F0C19" w:rsidRPr="006959E3" w:rsidRDefault="004F0C19" w:rsidP="004F0C19">
            <w:pPr>
              <w:keepNext/>
              <w:keepLines/>
              <w:jc w:val="right"/>
              <w:rPr>
                <w:color w:val="000000"/>
                <w:sz w:val="20"/>
                <w:szCs w:val="20"/>
              </w:rPr>
            </w:pPr>
            <w:r w:rsidRPr="006959E3">
              <w:rPr>
                <w:color w:val="000000"/>
                <w:sz w:val="20"/>
                <w:szCs w:val="20"/>
              </w:rPr>
              <w:t>1,405,722</w:t>
            </w:r>
          </w:p>
          <w:p w:rsidR="004F0C19" w:rsidRPr="006959E3" w:rsidRDefault="004F0C19" w:rsidP="004F0C19">
            <w:pPr>
              <w:keepNext/>
              <w:keepLines/>
              <w:jc w:val="right"/>
              <w:rPr>
                <w:sz w:val="20"/>
                <w:szCs w:val="20"/>
              </w:rPr>
            </w:pPr>
          </w:p>
        </w:tc>
        <w:tc>
          <w:tcPr>
            <w:tcW w:w="524" w:type="pct"/>
          </w:tcPr>
          <w:p w:rsidR="004F0C19" w:rsidRPr="006959E3" w:rsidRDefault="004F0C19" w:rsidP="004F0C19">
            <w:pPr>
              <w:keepNext/>
              <w:keepLines/>
              <w:jc w:val="right"/>
              <w:rPr>
                <w:sz w:val="20"/>
                <w:szCs w:val="20"/>
              </w:rPr>
            </w:pPr>
            <w:r w:rsidRPr="006959E3">
              <w:rPr>
                <w:sz w:val="20"/>
                <w:szCs w:val="20"/>
              </w:rPr>
              <w:t>15.5</w:t>
            </w:r>
          </w:p>
        </w:tc>
        <w:tc>
          <w:tcPr>
            <w:tcW w:w="647" w:type="pct"/>
          </w:tcPr>
          <w:p w:rsidR="004F0C19" w:rsidRPr="006959E3" w:rsidRDefault="004F0C19" w:rsidP="004F0C19">
            <w:pPr>
              <w:keepNext/>
              <w:keepLines/>
              <w:jc w:val="right"/>
              <w:rPr>
                <w:sz w:val="20"/>
                <w:szCs w:val="20"/>
              </w:rPr>
            </w:pPr>
            <w:r w:rsidRPr="006959E3">
              <w:rPr>
                <w:sz w:val="20"/>
                <w:szCs w:val="20"/>
              </w:rPr>
              <w:t>9.5</w:t>
            </w:r>
          </w:p>
        </w:tc>
        <w:tc>
          <w:tcPr>
            <w:tcW w:w="553" w:type="pct"/>
          </w:tcPr>
          <w:p w:rsidR="004F0C19" w:rsidRPr="006959E3" w:rsidRDefault="004F0C19" w:rsidP="004F0C19">
            <w:pPr>
              <w:keepNext/>
              <w:keepLines/>
              <w:jc w:val="right"/>
              <w:rPr>
                <w:sz w:val="20"/>
                <w:szCs w:val="20"/>
              </w:rPr>
            </w:pPr>
            <w:r w:rsidRPr="006959E3">
              <w:rPr>
                <w:sz w:val="20"/>
                <w:szCs w:val="20"/>
              </w:rPr>
              <w:t>15.0</w:t>
            </w:r>
          </w:p>
        </w:tc>
        <w:tc>
          <w:tcPr>
            <w:tcW w:w="452" w:type="pct"/>
          </w:tcPr>
          <w:p w:rsidR="004F0C19" w:rsidRPr="006959E3" w:rsidRDefault="004F0C19" w:rsidP="004F0C19">
            <w:pPr>
              <w:keepNext/>
              <w:keepLines/>
              <w:jc w:val="right"/>
              <w:rPr>
                <w:sz w:val="20"/>
                <w:szCs w:val="20"/>
              </w:rPr>
            </w:pPr>
            <w:r w:rsidRPr="006959E3">
              <w:rPr>
                <w:sz w:val="20"/>
                <w:szCs w:val="20"/>
              </w:rPr>
              <w:t>12.6</w:t>
            </w:r>
          </w:p>
        </w:tc>
        <w:tc>
          <w:tcPr>
            <w:tcW w:w="653" w:type="pct"/>
          </w:tcPr>
          <w:p w:rsidR="004F0C19" w:rsidRPr="006959E3" w:rsidRDefault="004F0C19" w:rsidP="004F0C19">
            <w:pPr>
              <w:keepNext/>
              <w:keepLines/>
              <w:jc w:val="right"/>
              <w:rPr>
                <w:sz w:val="20"/>
                <w:szCs w:val="20"/>
              </w:rPr>
            </w:pPr>
            <w:r w:rsidRPr="006959E3">
              <w:rPr>
                <w:sz w:val="20"/>
                <w:szCs w:val="20"/>
              </w:rPr>
              <w:t>11.5</w:t>
            </w:r>
          </w:p>
        </w:tc>
        <w:tc>
          <w:tcPr>
            <w:tcW w:w="350" w:type="pct"/>
          </w:tcPr>
          <w:p w:rsidR="004F0C19" w:rsidRPr="006959E3" w:rsidRDefault="004F0C19" w:rsidP="004F0C19">
            <w:pPr>
              <w:keepNext/>
              <w:keepLines/>
              <w:jc w:val="right"/>
              <w:rPr>
                <w:sz w:val="20"/>
                <w:szCs w:val="20"/>
              </w:rPr>
            </w:pPr>
            <w:r w:rsidRPr="006959E3">
              <w:rPr>
                <w:sz w:val="20"/>
                <w:szCs w:val="20"/>
              </w:rPr>
              <w:t>91</w:t>
            </w:r>
          </w:p>
        </w:tc>
        <w:tc>
          <w:tcPr>
            <w:tcW w:w="578" w:type="pct"/>
          </w:tcPr>
          <w:p w:rsidR="004F0C19" w:rsidRPr="006959E3" w:rsidRDefault="004F0C19" w:rsidP="004F0C19">
            <w:pPr>
              <w:keepNext/>
              <w:keepLines/>
              <w:jc w:val="right"/>
              <w:rPr>
                <w:sz w:val="20"/>
                <w:szCs w:val="20"/>
              </w:rPr>
            </w:pPr>
            <w:r w:rsidRPr="006959E3">
              <w:rPr>
                <w:sz w:val="20"/>
                <w:szCs w:val="20"/>
              </w:rPr>
              <w:t>1.0</w:t>
            </w:r>
          </w:p>
        </w:tc>
      </w:tr>
      <w:tr w:rsidR="004F0C19" w:rsidTr="004F0C19">
        <w:tc>
          <w:tcPr>
            <w:tcW w:w="620" w:type="pct"/>
          </w:tcPr>
          <w:p w:rsidR="004F0C19" w:rsidRPr="006959E3" w:rsidRDefault="004F0C19" w:rsidP="004F0C19">
            <w:pPr>
              <w:keepNext/>
              <w:keepLines/>
              <w:jc w:val="right"/>
              <w:rPr>
                <w:sz w:val="20"/>
                <w:szCs w:val="20"/>
              </w:rPr>
            </w:pPr>
            <w:r w:rsidRPr="006959E3">
              <w:rPr>
                <w:sz w:val="20"/>
                <w:szCs w:val="20"/>
              </w:rPr>
              <w:t>SYPTE</w:t>
            </w:r>
          </w:p>
        </w:tc>
        <w:tc>
          <w:tcPr>
            <w:tcW w:w="623" w:type="pct"/>
          </w:tcPr>
          <w:p w:rsidR="004F0C19" w:rsidRPr="006959E3" w:rsidRDefault="004F0C19" w:rsidP="004F0C19">
            <w:pPr>
              <w:keepNext/>
              <w:keepLines/>
              <w:jc w:val="right"/>
              <w:rPr>
                <w:color w:val="000000"/>
                <w:sz w:val="20"/>
                <w:szCs w:val="20"/>
              </w:rPr>
            </w:pPr>
            <w:r w:rsidRPr="006959E3">
              <w:rPr>
                <w:color w:val="000000"/>
                <w:sz w:val="20"/>
                <w:szCs w:val="20"/>
              </w:rPr>
              <w:t>1,590,855</w:t>
            </w:r>
          </w:p>
          <w:p w:rsidR="004F0C19" w:rsidRPr="006959E3" w:rsidRDefault="004F0C19" w:rsidP="004F0C19">
            <w:pPr>
              <w:keepNext/>
              <w:keepLines/>
              <w:jc w:val="right"/>
              <w:rPr>
                <w:sz w:val="20"/>
                <w:szCs w:val="20"/>
              </w:rPr>
            </w:pPr>
          </w:p>
        </w:tc>
        <w:tc>
          <w:tcPr>
            <w:tcW w:w="524" w:type="pct"/>
          </w:tcPr>
          <w:p w:rsidR="004F0C19" w:rsidRPr="006959E3" w:rsidRDefault="004F0C19" w:rsidP="004F0C19">
            <w:pPr>
              <w:keepNext/>
              <w:keepLines/>
              <w:jc w:val="right"/>
              <w:rPr>
                <w:sz w:val="20"/>
                <w:szCs w:val="20"/>
              </w:rPr>
            </w:pPr>
            <w:r w:rsidRPr="006959E3">
              <w:rPr>
                <w:sz w:val="20"/>
                <w:szCs w:val="20"/>
              </w:rPr>
              <w:t>10.6</w:t>
            </w:r>
          </w:p>
        </w:tc>
        <w:tc>
          <w:tcPr>
            <w:tcW w:w="647" w:type="pct"/>
          </w:tcPr>
          <w:p w:rsidR="004F0C19" w:rsidRPr="006959E3" w:rsidRDefault="004F0C19" w:rsidP="004F0C19">
            <w:pPr>
              <w:keepNext/>
              <w:keepLines/>
              <w:jc w:val="right"/>
              <w:rPr>
                <w:sz w:val="20"/>
                <w:szCs w:val="20"/>
              </w:rPr>
            </w:pPr>
            <w:r w:rsidRPr="006959E3">
              <w:rPr>
                <w:sz w:val="20"/>
                <w:szCs w:val="20"/>
              </w:rPr>
              <w:t>3.7</w:t>
            </w:r>
          </w:p>
        </w:tc>
        <w:tc>
          <w:tcPr>
            <w:tcW w:w="553" w:type="pct"/>
          </w:tcPr>
          <w:p w:rsidR="004F0C19" w:rsidRPr="006959E3" w:rsidRDefault="004F0C19" w:rsidP="004F0C19">
            <w:pPr>
              <w:keepNext/>
              <w:keepLines/>
              <w:jc w:val="right"/>
              <w:rPr>
                <w:sz w:val="20"/>
                <w:szCs w:val="20"/>
              </w:rPr>
            </w:pPr>
            <w:r w:rsidRPr="006959E3">
              <w:rPr>
                <w:sz w:val="20"/>
                <w:szCs w:val="20"/>
              </w:rPr>
              <w:t>7.4</w:t>
            </w:r>
          </w:p>
        </w:tc>
        <w:tc>
          <w:tcPr>
            <w:tcW w:w="452" w:type="pct"/>
          </w:tcPr>
          <w:p w:rsidR="004F0C19" w:rsidRPr="006959E3" w:rsidRDefault="004F0C19" w:rsidP="004F0C19">
            <w:pPr>
              <w:keepNext/>
              <w:keepLines/>
              <w:jc w:val="right"/>
              <w:rPr>
                <w:sz w:val="20"/>
                <w:szCs w:val="20"/>
              </w:rPr>
            </w:pPr>
            <w:r w:rsidRPr="006959E3">
              <w:rPr>
                <w:sz w:val="20"/>
                <w:szCs w:val="20"/>
              </w:rPr>
              <w:t>6.4</w:t>
            </w:r>
          </w:p>
        </w:tc>
        <w:tc>
          <w:tcPr>
            <w:tcW w:w="653" w:type="pct"/>
          </w:tcPr>
          <w:p w:rsidR="004F0C19" w:rsidRPr="006959E3" w:rsidRDefault="004F0C19" w:rsidP="004F0C19">
            <w:pPr>
              <w:keepNext/>
              <w:keepLines/>
              <w:jc w:val="right"/>
              <w:rPr>
                <w:sz w:val="20"/>
                <w:szCs w:val="20"/>
              </w:rPr>
            </w:pPr>
            <w:r w:rsidRPr="006959E3">
              <w:rPr>
                <w:sz w:val="20"/>
                <w:szCs w:val="20"/>
              </w:rPr>
              <w:t>7.1</w:t>
            </w:r>
          </w:p>
        </w:tc>
        <w:tc>
          <w:tcPr>
            <w:tcW w:w="350" w:type="pct"/>
          </w:tcPr>
          <w:p w:rsidR="004F0C19" w:rsidRPr="006959E3" w:rsidRDefault="004F0C19" w:rsidP="004F0C19">
            <w:pPr>
              <w:keepNext/>
              <w:keepLines/>
              <w:jc w:val="right"/>
              <w:rPr>
                <w:sz w:val="20"/>
                <w:szCs w:val="20"/>
              </w:rPr>
            </w:pPr>
            <w:r w:rsidRPr="006959E3">
              <w:rPr>
                <w:sz w:val="20"/>
                <w:szCs w:val="20"/>
              </w:rPr>
              <w:t>112</w:t>
            </w:r>
          </w:p>
        </w:tc>
        <w:tc>
          <w:tcPr>
            <w:tcW w:w="578" w:type="pct"/>
          </w:tcPr>
          <w:p w:rsidR="004F0C19" w:rsidRPr="006959E3" w:rsidRDefault="004F0C19" w:rsidP="004F0C19">
            <w:pPr>
              <w:keepNext/>
              <w:keepLines/>
              <w:jc w:val="right"/>
              <w:rPr>
                <w:sz w:val="20"/>
                <w:szCs w:val="20"/>
              </w:rPr>
            </w:pPr>
            <w:r w:rsidRPr="006959E3">
              <w:rPr>
                <w:sz w:val="20"/>
                <w:szCs w:val="20"/>
              </w:rPr>
              <w:t>-0.7</w:t>
            </w:r>
          </w:p>
        </w:tc>
      </w:tr>
      <w:tr w:rsidR="004F0C19" w:rsidTr="004F0C19">
        <w:tc>
          <w:tcPr>
            <w:tcW w:w="620" w:type="pct"/>
            <w:tcBorders>
              <w:bottom w:val="single" w:sz="4" w:space="0" w:color="auto"/>
            </w:tcBorders>
          </w:tcPr>
          <w:p w:rsidR="004F0C19" w:rsidRPr="006959E3" w:rsidRDefault="004F0C19" w:rsidP="004F0C19">
            <w:pPr>
              <w:keepNext/>
              <w:keepLines/>
              <w:jc w:val="right"/>
              <w:rPr>
                <w:sz w:val="20"/>
                <w:szCs w:val="20"/>
              </w:rPr>
            </w:pPr>
            <w:proofErr w:type="spellStart"/>
            <w:r w:rsidRPr="006959E3">
              <w:rPr>
                <w:sz w:val="20"/>
                <w:szCs w:val="20"/>
              </w:rPr>
              <w:t>TfGM</w:t>
            </w:r>
            <w:proofErr w:type="spellEnd"/>
          </w:p>
        </w:tc>
        <w:tc>
          <w:tcPr>
            <w:tcW w:w="623" w:type="pct"/>
            <w:tcBorders>
              <w:bottom w:val="single" w:sz="4" w:space="0" w:color="auto"/>
            </w:tcBorders>
          </w:tcPr>
          <w:p w:rsidR="004F0C19" w:rsidRPr="006959E3" w:rsidRDefault="004F0C19" w:rsidP="004F0C19">
            <w:pPr>
              <w:keepNext/>
              <w:keepLines/>
              <w:jc w:val="right"/>
              <w:rPr>
                <w:color w:val="000000"/>
                <w:sz w:val="20"/>
                <w:szCs w:val="20"/>
              </w:rPr>
            </w:pPr>
            <w:r w:rsidRPr="006959E3">
              <w:rPr>
                <w:color w:val="000000"/>
                <w:sz w:val="20"/>
                <w:szCs w:val="20"/>
              </w:rPr>
              <w:t>2,358,426</w:t>
            </w:r>
          </w:p>
          <w:p w:rsidR="004F0C19" w:rsidRPr="006959E3" w:rsidRDefault="004F0C19" w:rsidP="004F0C19">
            <w:pPr>
              <w:keepNext/>
              <w:keepLines/>
              <w:jc w:val="right"/>
              <w:rPr>
                <w:sz w:val="20"/>
                <w:szCs w:val="20"/>
              </w:rPr>
            </w:pPr>
          </w:p>
        </w:tc>
        <w:tc>
          <w:tcPr>
            <w:tcW w:w="524"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15.4</w:t>
            </w:r>
          </w:p>
        </w:tc>
        <w:tc>
          <w:tcPr>
            <w:tcW w:w="647"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9.6</w:t>
            </w:r>
          </w:p>
        </w:tc>
        <w:tc>
          <w:tcPr>
            <w:tcW w:w="553"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12.1</w:t>
            </w:r>
          </w:p>
        </w:tc>
        <w:tc>
          <w:tcPr>
            <w:tcW w:w="452"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9.5</w:t>
            </w:r>
          </w:p>
        </w:tc>
        <w:tc>
          <w:tcPr>
            <w:tcW w:w="653"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8.8</w:t>
            </w:r>
          </w:p>
        </w:tc>
        <w:tc>
          <w:tcPr>
            <w:tcW w:w="350"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92</w:t>
            </w:r>
          </w:p>
        </w:tc>
        <w:tc>
          <w:tcPr>
            <w:tcW w:w="578" w:type="pct"/>
            <w:tcBorders>
              <w:bottom w:val="single" w:sz="4" w:space="0" w:color="auto"/>
            </w:tcBorders>
          </w:tcPr>
          <w:p w:rsidR="004F0C19" w:rsidRPr="006959E3" w:rsidRDefault="004F0C19" w:rsidP="004F0C19">
            <w:pPr>
              <w:keepNext/>
              <w:keepLines/>
              <w:jc w:val="right"/>
              <w:rPr>
                <w:sz w:val="20"/>
                <w:szCs w:val="20"/>
              </w:rPr>
            </w:pPr>
            <w:r w:rsidRPr="006959E3">
              <w:rPr>
                <w:sz w:val="20"/>
                <w:szCs w:val="20"/>
              </w:rPr>
              <w:t>0.7</w:t>
            </w:r>
          </w:p>
        </w:tc>
      </w:tr>
      <w:tr w:rsidR="004F0C19" w:rsidTr="004F0C19">
        <w:tc>
          <w:tcPr>
            <w:tcW w:w="620"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WYCA</w:t>
            </w:r>
          </w:p>
        </w:tc>
        <w:tc>
          <w:tcPr>
            <w:tcW w:w="623" w:type="pct"/>
            <w:tcBorders>
              <w:bottom w:val="single" w:sz="12" w:space="0" w:color="auto"/>
            </w:tcBorders>
          </w:tcPr>
          <w:p w:rsidR="004F0C19" w:rsidRPr="006959E3" w:rsidRDefault="004F0C19" w:rsidP="004F0C19">
            <w:pPr>
              <w:keepNext/>
              <w:keepLines/>
              <w:jc w:val="right"/>
              <w:rPr>
                <w:color w:val="333333"/>
                <w:sz w:val="20"/>
                <w:szCs w:val="20"/>
              </w:rPr>
            </w:pPr>
            <w:r w:rsidRPr="006959E3">
              <w:rPr>
                <w:color w:val="333333"/>
                <w:sz w:val="20"/>
                <w:szCs w:val="20"/>
              </w:rPr>
              <w:t> 1,891,365</w:t>
            </w:r>
          </w:p>
          <w:p w:rsidR="004F0C19" w:rsidRPr="006959E3" w:rsidRDefault="004F0C19" w:rsidP="004F0C19">
            <w:pPr>
              <w:keepNext/>
              <w:keepLines/>
              <w:jc w:val="right"/>
              <w:rPr>
                <w:sz w:val="20"/>
                <w:szCs w:val="20"/>
              </w:rPr>
            </w:pPr>
          </w:p>
        </w:tc>
        <w:tc>
          <w:tcPr>
            <w:tcW w:w="524"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17.3</w:t>
            </w:r>
          </w:p>
        </w:tc>
        <w:tc>
          <w:tcPr>
            <w:tcW w:w="647"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11.4</w:t>
            </w:r>
          </w:p>
        </w:tc>
        <w:tc>
          <w:tcPr>
            <w:tcW w:w="553"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15.3</w:t>
            </w:r>
          </w:p>
        </w:tc>
        <w:tc>
          <w:tcPr>
            <w:tcW w:w="452"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11.2</w:t>
            </w:r>
          </w:p>
        </w:tc>
        <w:tc>
          <w:tcPr>
            <w:tcW w:w="653"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8.8</w:t>
            </w:r>
          </w:p>
        </w:tc>
        <w:tc>
          <w:tcPr>
            <w:tcW w:w="350"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79</w:t>
            </w:r>
          </w:p>
        </w:tc>
        <w:tc>
          <w:tcPr>
            <w:tcW w:w="578" w:type="pct"/>
            <w:tcBorders>
              <w:bottom w:val="single" w:sz="12" w:space="0" w:color="auto"/>
            </w:tcBorders>
          </w:tcPr>
          <w:p w:rsidR="004F0C19" w:rsidRPr="006959E3" w:rsidRDefault="004F0C19" w:rsidP="004F0C19">
            <w:pPr>
              <w:keepNext/>
              <w:keepLines/>
              <w:jc w:val="right"/>
              <w:rPr>
                <w:sz w:val="20"/>
                <w:szCs w:val="20"/>
              </w:rPr>
            </w:pPr>
            <w:r w:rsidRPr="006959E3">
              <w:rPr>
                <w:sz w:val="20"/>
                <w:szCs w:val="20"/>
              </w:rPr>
              <w:t>2.4</w:t>
            </w:r>
          </w:p>
        </w:tc>
      </w:tr>
      <w:tr w:rsidR="004F0C19" w:rsidTr="004F0C19">
        <w:trPr>
          <w:trHeight w:val="466"/>
        </w:trPr>
        <w:tc>
          <w:tcPr>
            <w:tcW w:w="620" w:type="pct"/>
            <w:tcBorders>
              <w:top w:val="single" w:sz="12" w:space="0" w:color="auto"/>
              <w:bottom w:val="nil"/>
            </w:tcBorders>
            <w:shd w:val="clear" w:color="auto" w:fill="C6D9F1"/>
          </w:tcPr>
          <w:p w:rsidR="004F0C19" w:rsidRPr="006959E3" w:rsidRDefault="004F0C19" w:rsidP="004F0C19">
            <w:pPr>
              <w:keepNext/>
              <w:keepLines/>
              <w:rPr>
                <w:b/>
                <w:sz w:val="20"/>
                <w:szCs w:val="20"/>
              </w:rPr>
            </w:pPr>
            <w:r w:rsidRPr="006959E3">
              <w:rPr>
                <w:b/>
                <w:sz w:val="20"/>
                <w:szCs w:val="20"/>
              </w:rPr>
              <w:t>PTEs</w:t>
            </w:r>
          </w:p>
        </w:tc>
        <w:tc>
          <w:tcPr>
            <w:tcW w:w="623"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color w:val="000000"/>
                <w:sz w:val="20"/>
                <w:szCs w:val="20"/>
              </w:rPr>
              <w:t>11,682,977</w:t>
            </w:r>
          </w:p>
        </w:tc>
        <w:tc>
          <w:tcPr>
            <w:tcW w:w="524"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14.3</w:t>
            </w:r>
          </w:p>
        </w:tc>
        <w:tc>
          <w:tcPr>
            <w:tcW w:w="647"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8.5</w:t>
            </w:r>
          </w:p>
        </w:tc>
        <w:tc>
          <w:tcPr>
            <w:tcW w:w="553"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11.2</w:t>
            </w:r>
          </w:p>
        </w:tc>
        <w:tc>
          <w:tcPr>
            <w:tcW w:w="452"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8.8</w:t>
            </w:r>
          </w:p>
        </w:tc>
        <w:tc>
          <w:tcPr>
            <w:tcW w:w="653"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7.5</w:t>
            </w:r>
          </w:p>
        </w:tc>
        <w:tc>
          <w:tcPr>
            <w:tcW w:w="350"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85</w:t>
            </w:r>
          </w:p>
        </w:tc>
        <w:tc>
          <w:tcPr>
            <w:tcW w:w="578" w:type="pct"/>
            <w:tcBorders>
              <w:top w:val="single" w:sz="12" w:space="0" w:color="auto"/>
              <w:bottom w:val="nil"/>
            </w:tcBorders>
            <w:shd w:val="clear" w:color="auto" w:fill="C6D9F1"/>
          </w:tcPr>
          <w:p w:rsidR="004F0C19" w:rsidRPr="006959E3" w:rsidRDefault="004F0C19" w:rsidP="004F0C19">
            <w:pPr>
              <w:keepNext/>
              <w:keepLines/>
              <w:jc w:val="right"/>
              <w:rPr>
                <w:sz w:val="20"/>
                <w:szCs w:val="20"/>
              </w:rPr>
            </w:pPr>
            <w:r w:rsidRPr="006959E3">
              <w:rPr>
                <w:sz w:val="20"/>
                <w:szCs w:val="20"/>
              </w:rPr>
              <w:t>1.3</w:t>
            </w:r>
          </w:p>
        </w:tc>
      </w:tr>
      <w:tr w:rsidR="004F0C19" w:rsidTr="004F0C19">
        <w:tc>
          <w:tcPr>
            <w:tcW w:w="620" w:type="pct"/>
            <w:tcBorders>
              <w:top w:val="single" w:sz="12" w:space="0" w:color="auto"/>
              <w:bottom w:val="single" w:sz="12" w:space="0" w:color="auto"/>
            </w:tcBorders>
            <w:shd w:val="clear" w:color="auto" w:fill="C6D9F1"/>
          </w:tcPr>
          <w:p w:rsidR="004F0C19" w:rsidRPr="006959E3" w:rsidRDefault="004F0C19" w:rsidP="004F0C19">
            <w:pPr>
              <w:keepNext/>
              <w:keepLines/>
              <w:rPr>
                <w:b/>
                <w:sz w:val="20"/>
                <w:szCs w:val="20"/>
              </w:rPr>
            </w:pPr>
            <w:r w:rsidRPr="006959E3">
              <w:rPr>
                <w:b/>
                <w:sz w:val="20"/>
                <w:szCs w:val="20"/>
              </w:rPr>
              <w:t>GB excluding London and PTEs</w:t>
            </w:r>
          </w:p>
        </w:tc>
        <w:tc>
          <w:tcPr>
            <w:tcW w:w="62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color w:val="000000"/>
                <w:sz w:val="20"/>
                <w:szCs w:val="20"/>
              </w:rPr>
            </w:pPr>
            <w:r w:rsidRPr="006959E3">
              <w:rPr>
                <w:color w:val="000000"/>
                <w:sz w:val="20"/>
                <w:szCs w:val="20"/>
              </w:rPr>
              <w:t>18,292,521</w:t>
            </w:r>
          </w:p>
          <w:p w:rsidR="004F0C19" w:rsidRPr="006959E3" w:rsidRDefault="004F0C19" w:rsidP="004F0C19">
            <w:pPr>
              <w:keepNext/>
              <w:keepLines/>
              <w:jc w:val="right"/>
              <w:rPr>
                <w:sz w:val="20"/>
                <w:szCs w:val="20"/>
              </w:rPr>
            </w:pPr>
          </w:p>
        </w:tc>
        <w:tc>
          <w:tcPr>
            <w:tcW w:w="524"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13.1</w:t>
            </w:r>
          </w:p>
        </w:tc>
        <w:tc>
          <w:tcPr>
            <w:tcW w:w="647"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6.4</w:t>
            </w:r>
          </w:p>
        </w:tc>
        <w:tc>
          <w:tcPr>
            <w:tcW w:w="55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8.5</w:t>
            </w:r>
          </w:p>
        </w:tc>
        <w:tc>
          <w:tcPr>
            <w:tcW w:w="452"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6.9</w:t>
            </w:r>
          </w:p>
        </w:tc>
        <w:tc>
          <w:tcPr>
            <w:tcW w:w="65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5.5</w:t>
            </w:r>
          </w:p>
        </w:tc>
        <w:tc>
          <w:tcPr>
            <w:tcW w:w="350"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80</w:t>
            </w:r>
          </w:p>
        </w:tc>
        <w:tc>
          <w:tcPr>
            <w:tcW w:w="578"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1.5</w:t>
            </w:r>
          </w:p>
        </w:tc>
      </w:tr>
      <w:tr w:rsidR="004F0C19" w:rsidTr="004F0C19">
        <w:tc>
          <w:tcPr>
            <w:tcW w:w="620" w:type="pct"/>
            <w:tcBorders>
              <w:top w:val="single" w:sz="12" w:space="0" w:color="auto"/>
              <w:bottom w:val="single" w:sz="12" w:space="0" w:color="auto"/>
            </w:tcBorders>
            <w:shd w:val="clear" w:color="auto" w:fill="C6D9F1"/>
          </w:tcPr>
          <w:p w:rsidR="004F0C19" w:rsidRPr="006959E3" w:rsidRDefault="004F0C19" w:rsidP="004F0C19">
            <w:pPr>
              <w:keepNext/>
              <w:keepLines/>
              <w:rPr>
                <w:b/>
                <w:sz w:val="20"/>
                <w:szCs w:val="20"/>
              </w:rPr>
            </w:pPr>
            <w:r w:rsidRPr="006959E3">
              <w:rPr>
                <w:b/>
                <w:sz w:val="20"/>
                <w:szCs w:val="20"/>
              </w:rPr>
              <w:t>London</w:t>
            </w:r>
          </w:p>
        </w:tc>
        <w:tc>
          <w:tcPr>
            <w:tcW w:w="62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color w:val="000000"/>
                <w:sz w:val="20"/>
                <w:szCs w:val="20"/>
              </w:rPr>
            </w:pPr>
            <w:r w:rsidRPr="006959E3">
              <w:rPr>
                <w:color w:val="000000"/>
                <w:sz w:val="20"/>
                <w:szCs w:val="20"/>
              </w:rPr>
              <w:t>13,911,425</w:t>
            </w:r>
          </w:p>
        </w:tc>
        <w:tc>
          <w:tcPr>
            <w:tcW w:w="524"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7.4</w:t>
            </w:r>
          </w:p>
        </w:tc>
        <w:tc>
          <w:tcPr>
            <w:tcW w:w="647"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3.7</w:t>
            </w:r>
          </w:p>
        </w:tc>
        <w:tc>
          <w:tcPr>
            <w:tcW w:w="55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4.9</w:t>
            </w:r>
          </w:p>
        </w:tc>
        <w:tc>
          <w:tcPr>
            <w:tcW w:w="452"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4.0</w:t>
            </w:r>
          </w:p>
        </w:tc>
        <w:tc>
          <w:tcPr>
            <w:tcW w:w="653"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3.8</w:t>
            </w:r>
          </w:p>
        </w:tc>
        <w:tc>
          <w:tcPr>
            <w:tcW w:w="350"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95</w:t>
            </w:r>
          </w:p>
        </w:tc>
        <w:tc>
          <w:tcPr>
            <w:tcW w:w="578" w:type="pct"/>
            <w:tcBorders>
              <w:top w:val="single" w:sz="12" w:space="0" w:color="auto"/>
              <w:bottom w:val="single" w:sz="12" w:space="0" w:color="auto"/>
            </w:tcBorders>
            <w:shd w:val="clear" w:color="auto" w:fill="C6D9F1"/>
          </w:tcPr>
          <w:p w:rsidR="004F0C19" w:rsidRPr="006959E3" w:rsidRDefault="004F0C19" w:rsidP="004F0C19">
            <w:pPr>
              <w:keepNext/>
              <w:keepLines/>
              <w:jc w:val="right"/>
              <w:rPr>
                <w:sz w:val="20"/>
                <w:szCs w:val="20"/>
              </w:rPr>
            </w:pPr>
            <w:r w:rsidRPr="006959E3">
              <w:rPr>
                <w:sz w:val="20"/>
                <w:szCs w:val="20"/>
              </w:rPr>
              <w:t>0.2</w:t>
            </w:r>
          </w:p>
        </w:tc>
      </w:tr>
    </w:tbl>
    <w:p w:rsidR="004F0C19" w:rsidRDefault="004F0C19" w:rsidP="004F0C19"/>
    <w:p w:rsidR="004F0C19" w:rsidRDefault="004F0C19" w:rsidP="004F0C19">
      <w:r>
        <w:t xml:space="preserve">This analysis largely confirms that bus operators in PTE areas are earning high levels of profits when compared to other areas of the country and paying high levels of dividends. It’s also worth noting that, with the exception of Merseyside, bus companies have shown </w:t>
      </w:r>
      <w:r>
        <w:lastRenderedPageBreak/>
        <w:t>consistently high profits in PTE areas over this period. Profits have been 32% larger than elsewhere in England outside London and more than twice the level observed in London. While bus companies in PTE areas have been generating high levels of profit, of which 85% has been paid back to the shareholders as dividends.</w:t>
      </w:r>
    </w:p>
    <w:p w:rsidR="004F0C19" w:rsidRDefault="004F0C19" w:rsidP="004F0C19">
      <w:r>
        <w:t>As with the most recent year’s accounts, pre and post-tax profit margins are again considerably higher than operating profit, more so in PTE areas. This implies that bus companies have been loaning out a proportion of their earnings for some time.</w:t>
      </w:r>
    </w:p>
    <w:p w:rsidR="004F0C19" w:rsidRDefault="004F0C19" w:rsidP="004F0C19">
      <w:r>
        <w:t xml:space="preserve">There are two PTEs, SYPTE and </w:t>
      </w:r>
      <w:proofErr w:type="spellStart"/>
      <w:r>
        <w:t>Merseytravel</w:t>
      </w:r>
      <w:proofErr w:type="spellEnd"/>
      <w:r>
        <w:t xml:space="preserve">, where bus operators have made profit levels that are below the national average. The level of profit made for the other PTEs is substantially above the national average on all measures. Operating profit is highest in Centro and WYCA, 10.2% and 11.4% respectively. </w:t>
      </w:r>
    </w:p>
    <w:p w:rsidR="004F0C19" w:rsidRPr="005C5CEA" w:rsidRDefault="004F0C19" w:rsidP="004F0C19">
      <w:pPr>
        <w:rPr>
          <w:b/>
        </w:rPr>
      </w:pPr>
      <w:proofErr w:type="gramStart"/>
      <w:r>
        <w:rPr>
          <w:b/>
        </w:rPr>
        <w:t>Figure 4.</w:t>
      </w:r>
      <w:proofErr w:type="gramEnd"/>
      <w:r>
        <w:rPr>
          <w:b/>
        </w:rPr>
        <w:t xml:space="preserve"> Operating profit over time by area type</w:t>
      </w:r>
    </w:p>
    <w:p w:rsidR="004F0C19" w:rsidRDefault="002F48D8" w:rsidP="004F0C19">
      <w:r>
        <w:rPr>
          <w:noProof/>
          <w:lang w:eastAsia="en-GB"/>
        </w:rPr>
        <w:drawing>
          <wp:inline distT="0" distB="0" distL="0" distR="0">
            <wp:extent cx="5535930" cy="3438525"/>
            <wp:effectExtent l="0" t="0" r="26670" b="9525"/>
            <wp:docPr id="30"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0C19" w:rsidRDefault="002F48D8" w:rsidP="004F0C19">
      <w:r>
        <w:t>Figure four</w:t>
      </w:r>
      <w:r w:rsidR="004F0C19">
        <w:t xml:space="preserve"> shows that the level of operating profit made each year has been higher that in London or in non-PTE areas for almost all of the last ten years. </w:t>
      </w:r>
    </w:p>
    <w:p w:rsidR="004F0C19" w:rsidRDefault="004F0C19" w:rsidP="004F0C19">
      <w:pPr>
        <w:rPr>
          <w:b/>
        </w:rPr>
      </w:pPr>
      <w:r>
        <w:t xml:space="preserve">From the low point seven years ago, PTE operating profit levels increased rapidly, moving away from the national and London average. However, there has been a fall in the average operating profit in PTEs over the last two years, bringing the amount of profit earned closer to the national average, but still considerably above the London figure.  </w:t>
      </w:r>
    </w:p>
    <w:p w:rsidR="004F0C19" w:rsidRDefault="004F0C19" w:rsidP="004F0C19">
      <w:pPr>
        <w:rPr>
          <w:b/>
        </w:rPr>
      </w:pPr>
    </w:p>
    <w:p w:rsidR="004F0C19" w:rsidRDefault="004F0C19" w:rsidP="004F0C19">
      <w:pPr>
        <w:rPr>
          <w:b/>
        </w:rPr>
      </w:pPr>
    </w:p>
    <w:p w:rsidR="004F0C19" w:rsidRDefault="004F0C19" w:rsidP="004F0C19">
      <w:pPr>
        <w:rPr>
          <w:b/>
        </w:rPr>
      </w:pPr>
    </w:p>
    <w:p w:rsidR="004F0C19" w:rsidRPr="006959E3" w:rsidRDefault="004F0C19" w:rsidP="004F0C19">
      <w:pPr>
        <w:pStyle w:val="Heading1"/>
      </w:pPr>
      <w:bookmarkStart w:id="7" w:name="_Toc400707005"/>
      <w:r w:rsidRPr="006959E3">
        <w:lastRenderedPageBreak/>
        <w:t>Five-year trends</w:t>
      </w:r>
      <w:bookmarkEnd w:id="7"/>
    </w:p>
    <w:p w:rsidR="004F0C19" w:rsidRPr="002F48D8" w:rsidRDefault="004F0C19" w:rsidP="002F48D8">
      <w:r>
        <w:t>Having explored the most recent year and the ten years trends, this section breaks the last ten years down into two blocks of five. The figures taken combine the most recent five years together i.e. 2009-2013 and the five previous years 2004-2008</w:t>
      </w:r>
      <w:r>
        <w:rPr>
          <w:rStyle w:val="FootnoteReference"/>
        </w:rPr>
        <w:footnoteReference w:id="1"/>
      </w:r>
      <w:r w:rsidR="002F48D8">
        <w:t xml:space="preserve">. </w:t>
      </w:r>
    </w:p>
    <w:p w:rsidR="004F0C19" w:rsidRPr="005C5CEA" w:rsidRDefault="004F0C19" w:rsidP="004F0C19">
      <w:pPr>
        <w:keepNext/>
        <w:keepLines/>
        <w:rPr>
          <w:b/>
        </w:rPr>
      </w:pPr>
      <w:proofErr w:type="gramStart"/>
      <w:r>
        <w:rPr>
          <w:b/>
        </w:rPr>
        <w:t>Figure 5.</w:t>
      </w:r>
      <w:proofErr w:type="gramEnd"/>
      <w:r>
        <w:rPr>
          <w:b/>
        </w:rPr>
        <w:t xml:space="preserve"> PTE-wide financial analysis</w:t>
      </w:r>
    </w:p>
    <w:p w:rsidR="004F0C19" w:rsidRDefault="002F48D8" w:rsidP="004F0C19">
      <w:pPr>
        <w:pStyle w:val="ListParagraph"/>
        <w:keepNext/>
        <w:keepLines/>
        <w:ind w:left="0"/>
      </w:pPr>
      <w:r>
        <w:rPr>
          <w:noProof/>
          <w:lang w:eastAsia="en-GB"/>
        </w:rPr>
        <w:drawing>
          <wp:inline distT="0" distB="0" distL="0" distR="0">
            <wp:extent cx="5226685" cy="2688590"/>
            <wp:effectExtent l="0" t="0" r="12065" b="16510"/>
            <wp:docPr id="2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0C19" w:rsidRDefault="004F0C19" w:rsidP="004F0C19">
      <w:r>
        <w:t>Outside PTE areas, EBITDA and operating profits have increased in the past five years. However, pre/post-tax profits have decreased. This suggests that companies are earning less additional income outside of the direct business, such as interest gained on loans. This makes sense as the recession will have had an impact on operating profits and reduced the amount of money which could be loaned out. Operating profit is not above both pre-and post-tax figures further highlighting this point. The level of dividends paid in the most recent five years has almost halved from the period before, which has helped to increase retained profit from a negative figure to over 2%.</w:t>
      </w:r>
    </w:p>
    <w:p w:rsidR="004F0C19" w:rsidRDefault="004F0C19" w:rsidP="004F0C19">
      <w:r>
        <w:t xml:space="preserve">The results are broken down into the different PTEs below. It is clear from the graphs that there is not a single trend for PTE areas as a whole. </w:t>
      </w:r>
    </w:p>
    <w:p w:rsidR="004F0C19" w:rsidRPr="005C5CEA" w:rsidRDefault="004F0C19" w:rsidP="004F0C19">
      <w:pPr>
        <w:keepNext/>
        <w:keepLines/>
        <w:rPr>
          <w:b/>
        </w:rPr>
      </w:pPr>
      <w:proofErr w:type="gramStart"/>
      <w:r>
        <w:rPr>
          <w:b/>
        </w:rPr>
        <w:lastRenderedPageBreak/>
        <w:t>Figure 6.</w:t>
      </w:r>
      <w:proofErr w:type="gramEnd"/>
      <w:r>
        <w:rPr>
          <w:b/>
        </w:rPr>
        <w:t xml:space="preserve"> Centro financial analysis</w:t>
      </w:r>
    </w:p>
    <w:p w:rsidR="004F0C19" w:rsidRDefault="002F48D8" w:rsidP="004F0C19">
      <w:pPr>
        <w:pStyle w:val="ListParagraph"/>
        <w:keepNext/>
        <w:keepLines/>
        <w:ind w:left="0"/>
      </w:pPr>
      <w:r>
        <w:rPr>
          <w:noProof/>
          <w:lang w:eastAsia="en-GB"/>
        </w:rPr>
        <w:drawing>
          <wp:inline distT="0" distB="0" distL="0" distR="0">
            <wp:extent cx="5226685" cy="2326640"/>
            <wp:effectExtent l="0" t="0" r="12065" b="16510"/>
            <wp:docPr id="2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0C19" w:rsidRDefault="004F0C19" w:rsidP="004F0C19">
      <w:r>
        <w:t xml:space="preserve">For Centro, the level of profit has been reduced over all of the measures in the most recent five years when compared to the first five. The level of dividends has also decreased whilst the amount of retained profit has been increased. Despite this, profit levels are still high for Centro. </w:t>
      </w:r>
    </w:p>
    <w:p w:rsidR="004F0C19" w:rsidRPr="005C5CEA" w:rsidRDefault="004F0C19" w:rsidP="004F0C19">
      <w:pPr>
        <w:keepNext/>
        <w:keepLines/>
        <w:rPr>
          <w:b/>
        </w:rPr>
      </w:pPr>
      <w:proofErr w:type="gramStart"/>
      <w:r>
        <w:rPr>
          <w:b/>
        </w:rPr>
        <w:t>Figure 7.</w:t>
      </w:r>
      <w:proofErr w:type="gramEnd"/>
      <w:r>
        <w:rPr>
          <w:b/>
        </w:rPr>
        <w:t xml:space="preserve"> </w:t>
      </w:r>
      <w:proofErr w:type="spellStart"/>
      <w:r>
        <w:rPr>
          <w:b/>
        </w:rPr>
        <w:t>Merseytravel</w:t>
      </w:r>
      <w:proofErr w:type="spellEnd"/>
      <w:r>
        <w:rPr>
          <w:b/>
        </w:rPr>
        <w:t xml:space="preserve"> financial analysis</w:t>
      </w:r>
    </w:p>
    <w:p w:rsidR="004F0C19" w:rsidRPr="005C5CEA" w:rsidRDefault="002F48D8" w:rsidP="004F0C19">
      <w:pPr>
        <w:keepNext/>
        <w:keepLines/>
      </w:pPr>
      <w:r>
        <w:rPr>
          <w:noProof/>
          <w:lang w:eastAsia="en-GB"/>
        </w:rPr>
        <w:drawing>
          <wp:inline distT="0" distB="0" distL="0" distR="0">
            <wp:extent cx="5226685" cy="2645410"/>
            <wp:effectExtent l="0" t="0" r="12065" b="21590"/>
            <wp:docPr id="27"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F0C19" w:rsidRDefault="004F0C19" w:rsidP="004F0C19">
      <w:r>
        <w:t xml:space="preserve">Operating profits have increased significantly in </w:t>
      </w:r>
      <w:proofErr w:type="spellStart"/>
      <w:r>
        <w:t>MerseyTravel</w:t>
      </w:r>
      <w:proofErr w:type="spellEnd"/>
      <w:r>
        <w:t xml:space="preserve"> for the most recent five years, which is reflected in increased pre and post-tax profit. The only measure to decrease is the level of dividends being paid, which has reduced to none in the last five years, with the level of retained profit subsequently rising. Dividends have only been paid for two of the last ten years, so it is not possible to say whether this is a more recent trend or just part of a longer cycle.</w:t>
      </w:r>
    </w:p>
    <w:p w:rsidR="004F0C19" w:rsidRDefault="004F0C19" w:rsidP="004F0C19">
      <w:pPr>
        <w:keepNext/>
        <w:keepLines/>
        <w:rPr>
          <w:b/>
        </w:rPr>
      </w:pPr>
      <w:proofErr w:type="gramStart"/>
      <w:r>
        <w:rPr>
          <w:b/>
        </w:rPr>
        <w:lastRenderedPageBreak/>
        <w:t>Figure 8.</w:t>
      </w:r>
      <w:proofErr w:type="gramEnd"/>
      <w:r>
        <w:rPr>
          <w:b/>
        </w:rPr>
        <w:t xml:space="preserve"> NEXUS financial analysis</w:t>
      </w:r>
    </w:p>
    <w:p w:rsidR="004F0C19" w:rsidRPr="005C5CEA" w:rsidRDefault="002F48D8" w:rsidP="004F0C19">
      <w:pPr>
        <w:keepNext/>
        <w:keepLines/>
        <w:spacing w:after="240"/>
        <w:rPr>
          <w:b/>
        </w:rPr>
      </w:pPr>
      <w:r>
        <w:rPr>
          <w:noProof/>
          <w:lang w:eastAsia="en-GB"/>
        </w:rPr>
        <w:drawing>
          <wp:inline distT="0" distB="0" distL="0" distR="0">
            <wp:extent cx="4575175" cy="2746375"/>
            <wp:effectExtent l="0" t="0" r="15875" b="15875"/>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48D8" w:rsidRDefault="004F0C19" w:rsidP="004F0C19">
      <w:r>
        <w:t xml:space="preserve">Operating profits for NEXUS have increased to 10.4% from 8%, whilst pre and post-tax profit levels have more than halved. This suggests substantially less additional income/interest has been received on top of the turnover from bus operations. </w:t>
      </w:r>
      <w:r w:rsidR="002F48D8">
        <w:t xml:space="preserve">The level of profit earned across all measures is still high compared to a PTE average. </w:t>
      </w:r>
    </w:p>
    <w:p w:rsidR="004F0C19" w:rsidRDefault="004F0C19" w:rsidP="004F0C19">
      <w:r>
        <w:t xml:space="preserve">The level of dividends paid has decreased massively, but is still considerably above average. Despite this, the level of retained profit has decreased. It appears that companies in Nexus are very profitable but retain very little of this money. </w:t>
      </w:r>
    </w:p>
    <w:p w:rsidR="004F0C19" w:rsidRDefault="004F0C19" w:rsidP="004F0C19">
      <w:pPr>
        <w:keepNext/>
        <w:keepLines/>
      </w:pPr>
      <w:proofErr w:type="gramStart"/>
      <w:r>
        <w:rPr>
          <w:b/>
        </w:rPr>
        <w:t>Figure 9.</w:t>
      </w:r>
      <w:proofErr w:type="gramEnd"/>
      <w:r>
        <w:rPr>
          <w:b/>
        </w:rPr>
        <w:t xml:space="preserve"> SYPTE financial analysis</w:t>
      </w:r>
    </w:p>
    <w:p w:rsidR="004F0C19" w:rsidRDefault="002F48D8" w:rsidP="004F0C19">
      <w:pPr>
        <w:keepNext/>
        <w:keepLines/>
      </w:pPr>
      <w:r>
        <w:rPr>
          <w:noProof/>
          <w:lang w:eastAsia="en-GB"/>
        </w:rPr>
        <w:drawing>
          <wp:inline distT="0" distB="0" distL="0" distR="0">
            <wp:extent cx="5163185" cy="2826385"/>
            <wp:effectExtent l="0" t="0" r="18415" b="12065"/>
            <wp:docPr id="25"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F48D8" w:rsidRDefault="004F0C19" w:rsidP="004F0C19">
      <w:r>
        <w:t xml:space="preserve">Profit levels have increased on all of the indicators for SYPTE. However, the level of profit is still below many of the other PTEs. </w:t>
      </w:r>
      <w:r w:rsidR="002F48D8">
        <w:t xml:space="preserve">Dividends paid out to shareholders have been reduced which has in turn helped to increase the level of retained profit. The figure for the previous five years was exceptionally low, with the company giving out more money than it made. </w:t>
      </w:r>
    </w:p>
    <w:p w:rsidR="004F0C19" w:rsidRPr="00EE43E4" w:rsidRDefault="004F0C19" w:rsidP="004F0C19">
      <w:pPr>
        <w:keepNext/>
        <w:keepLines/>
        <w:rPr>
          <w:b/>
        </w:rPr>
      </w:pPr>
      <w:proofErr w:type="gramStart"/>
      <w:r>
        <w:rPr>
          <w:b/>
        </w:rPr>
        <w:lastRenderedPageBreak/>
        <w:t>Figure 10.</w:t>
      </w:r>
      <w:proofErr w:type="gramEnd"/>
      <w:r>
        <w:rPr>
          <w:b/>
        </w:rPr>
        <w:t xml:space="preserve"> </w:t>
      </w:r>
      <w:proofErr w:type="spellStart"/>
      <w:r>
        <w:rPr>
          <w:b/>
        </w:rPr>
        <w:t>TfGM</w:t>
      </w:r>
      <w:proofErr w:type="spellEnd"/>
      <w:r>
        <w:rPr>
          <w:b/>
        </w:rPr>
        <w:t xml:space="preserve"> financial analysis </w:t>
      </w:r>
    </w:p>
    <w:p w:rsidR="004F0C19" w:rsidRPr="00384F33" w:rsidRDefault="002F48D8" w:rsidP="004F0C19">
      <w:pPr>
        <w:keepNext/>
        <w:keepLines/>
        <w:rPr>
          <w:b/>
        </w:rPr>
      </w:pPr>
      <w:r>
        <w:rPr>
          <w:noProof/>
          <w:lang w:eastAsia="en-GB"/>
        </w:rPr>
        <w:drawing>
          <wp:inline distT="0" distB="0" distL="0" distR="0">
            <wp:extent cx="5325110" cy="2792730"/>
            <wp:effectExtent l="0" t="0" r="27940" b="26670"/>
            <wp:docPr id="19"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0C19" w:rsidRDefault="004F0C19" w:rsidP="004F0C19">
      <w:r>
        <w:t xml:space="preserve">Profit levels have increased across all of the different measures for </w:t>
      </w:r>
      <w:proofErr w:type="spellStart"/>
      <w:r>
        <w:t>TfGM</w:t>
      </w:r>
      <w:proofErr w:type="spellEnd"/>
      <w:r>
        <w:t xml:space="preserve">. The greatest increases have been in operating profits and EBITDA. The level of dividends taken out of the companies has reduced, but is still very high compared to other bus operations. </w:t>
      </w:r>
    </w:p>
    <w:p w:rsidR="004F0C19" w:rsidRDefault="004F0C19" w:rsidP="004F0C19">
      <w:r>
        <w:t>There has been a big change in the level of retained profit, going from a negative figure to an above average amount. This reflects the increased profit levels and lower level of dividends paid.</w:t>
      </w:r>
    </w:p>
    <w:p w:rsidR="004F0C19" w:rsidRPr="00EE43E4" w:rsidRDefault="004F0C19" w:rsidP="004F0C19">
      <w:pPr>
        <w:keepNext/>
        <w:keepLines/>
        <w:rPr>
          <w:b/>
        </w:rPr>
      </w:pPr>
      <w:proofErr w:type="gramStart"/>
      <w:r>
        <w:rPr>
          <w:b/>
        </w:rPr>
        <w:t>Figure 11.</w:t>
      </w:r>
      <w:proofErr w:type="gramEnd"/>
      <w:r>
        <w:rPr>
          <w:b/>
        </w:rPr>
        <w:t xml:space="preserve"> WYCA financial analysis</w:t>
      </w:r>
    </w:p>
    <w:p w:rsidR="004F0C19" w:rsidRPr="00384F33" w:rsidRDefault="002F48D8" w:rsidP="004F0C19">
      <w:pPr>
        <w:keepNext/>
        <w:keepLines/>
      </w:pPr>
      <w:r>
        <w:rPr>
          <w:noProof/>
          <w:lang w:eastAsia="en-GB"/>
        </w:rPr>
        <w:drawing>
          <wp:inline distT="0" distB="0" distL="0" distR="0">
            <wp:extent cx="5401945" cy="2733675"/>
            <wp:effectExtent l="0" t="0" r="27305" b="9525"/>
            <wp:docPr id="18"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F0C19" w:rsidRPr="00CA0628" w:rsidRDefault="004F0C19" w:rsidP="004F0C19">
      <w:pPr>
        <w:rPr>
          <w:b/>
        </w:rPr>
      </w:pPr>
      <w:r>
        <w:t>Profit levels have increased across all of the different measures for WYCA. Despite this, the level of dividends paid has decreased, but is still considerably high. The level of retained profit has increased sharply. This is due to First West Yorkshire not paying any dividends in the most recent year. Had this occurred, there would have only been a marginal increase in retained profit.</w:t>
      </w:r>
    </w:p>
    <w:p w:rsidR="004F0C19" w:rsidRPr="00EE43E4" w:rsidRDefault="004F0C19" w:rsidP="004F0C19">
      <w:pPr>
        <w:keepNext/>
        <w:keepLines/>
        <w:rPr>
          <w:b/>
        </w:rPr>
      </w:pPr>
      <w:proofErr w:type="gramStart"/>
      <w:r>
        <w:rPr>
          <w:b/>
        </w:rPr>
        <w:lastRenderedPageBreak/>
        <w:t>Figure 12.</w:t>
      </w:r>
      <w:proofErr w:type="gramEnd"/>
      <w:r>
        <w:rPr>
          <w:b/>
        </w:rPr>
        <w:t xml:space="preserve"> London financial analysis</w:t>
      </w:r>
    </w:p>
    <w:p w:rsidR="004F0C19" w:rsidRDefault="002F48D8" w:rsidP="004F0C19">
      <w:pPr>
        <w:keepNext/>
        <w:keepLines/>
      </w:pPr>
      <w:r>
        <w:rPr>
          <w:noProof/>
          <w:lang w:eastAsia="en-GB"/>
        </w:rPr>
        <w:drawing>
          <wp:inline distT="0" distB="0" distL="0" distR="0">
            <wp:extent cx="5401945" cy="2792730"/>
            <wp:effectExtent l="0" t="0" r="27305" b="26670"/>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0C19" w:rsidRDefault="004F0C19" w:rsidP="004F0C19">
      <w:r>
        <w:t xml:space="preserve">London has seen a reduction in all categories of profit in the most recent five years, and the level of dividends has been halved. The level of retained profit is very low. Despite this, bus companies in London have invested significant resources in their fleets and depots, providing the highest quality of service in the country. This implies that much of this past investment is reflected in steady state levels of depreciation and amortisation. </w:t>
      </w:r>
    </w:p>
    <w:p w:rsidR="004F0C19" w:rsidRDefault="004F0C19" w:rsidP="004F0C19">
      <w:r>
        <w:t xml:space="preserve">Profit levels in London are half those in the PTE areas. Through having tighter control on the bus networks, profit levels have been controlled whilst maintaining a very high standard of service and encouraging investment. </w:t>
      </w:r>
    </w:p>
    <w:p w:rsidR="004F0C19" w:rsidRPr="00C216FD" w:rsidRDefault="004F0C19" w:rsidP="004F0C19">
      <w:pPr>
        <w:rPr>
          <w:b/>
        </w:rPr>
      </w:pPr>
      <w:r>
        <w:rPr>
          <w:b/>
        </w:rPr>
        <w:t>What do the five</w:t>
      </w:r>
      <w:r w:rsidRPr="00C216FD">
        <w:rPr>
          <w:b/>
        </w:rPr>
        <w:t xml:space="preserve"> year trends show us?</w:t>
      </w:r>
    </w:p>
    <w:p w:rsidR="004F0C19" w:rsidRDefault="004F0C19" w:rsidP="004F0C19">
      <w:pPr>
        <w:pStyle w:val="ListParagraph"/>
        <w:numPr>
          <w:ilvl w:val="0"/>
          <w:numId w:val="22"/>
        </w:numPr>
      </w:pPr>
      <w:r>
        <w:t xml:space="preserve">EBITDA and operating profit are up considerably in most PTEs over the last five years. This suggests that the bus operations of PTE companies are healthy and are generating more profit than the previous five years. The level of income from other areas of the business, for example interest received from loans, has decreased, meaning that some other profit measures have decreased. </w:t>
      </w:r>
    </w:p>
    <w:p w:rsidR="004F0C19" w:rsidRDefault="004F0C19" w:rsidP="004F0C19">
      <w:pPr>
        <w:pStyle w:val="ListParagraph"/>
        <w:numPr>
          <w:ilvl w:val="0"/>
          <w:numId w:val="22"/>
        </w:numPr>
      </w:pPr>
      <w:r>
        <w:t xml:space="preserve">There </w:t>
      </w:r>
      <w:proofErr w:type="gramStart"/>
      <w:r>
        <w:t>has been particularly large increases</w:t>
      </w:r>
      <w:proofErr w:type="gramEnd"/>
      <w:r>
        <w:t xml:space="preserve"> in </w:t>
      </w:r>
      <w:proofErr w:type="spellStart"/>
      <w:r>
        <w:t>TfGM</w:t>
      </w:r>
      <w:proofErr w:type="spellEnd"/>
      <w:r>
        <w:t xml:space="preserve"> and WYCA for the most recent five years. Whilst the level of retained profit has increased during this time, very large dividends are being taken out of companies in these PTEs. </w:t>
      </w:r>
    </w:p>
    <w:p w:rsidR="004F0C19" w:rsidRDefault="004F0C19" w:rsidP="004F0C19">
      <w:pPr>
        <w:pStyle w:val="ListParagraph"/>
        <w:numPr>
          <w:ilvl w:val="0"/>
          <w:numId w:val="22"/>
        </w:numPr>
      </w:pPr>
      <w:r>
        <w:t>Dividends are on average down across the PTEs. Despite this, they are still high compared to national and London figures.</w:t>
      </w:r>
    </w:p>
    <w:p w:rsidR="004F0C19" w:rsidRPr="00827113" w:rsidRDefault="004F0C19" w:rsidP="004F0C19">
      <w:pPr>
        <w:pStyle w:val="ListParagraph"/>
        <w:numPr>
          <w:ilvl w:val="0"/>
          <w:numId w:val="22"/>
        </w:numPr>
        <w:rPr>
          <w:b/>
        </w:rPr>
      </w:pPr>
      <w:r>
        <w:t>Over the last five years, bus companies in PTEs have made an average operating profit of almost 10%. Nationally this is 7% and in London it is around 3.5%.</w:t>
      </w:r>
    </w:p>
    <w:p w:rsidR="004F0C19" w:rsidRDefault="004F0C19" w:rsidP="004F0C19">
      <w:pPr>
        <w:pStyle w:val="ListParagraph"/>
        <w:rPr>
          <w:b/>
        </w:rPr>
      </w:pPr>
    </w:p>
    <w:p w:rsidR="004F0C19" w:rsidRDefault="004F0C19" w:rsidP="004F0C19">
      <w:pPr>
        <w:pStyle w:val="ListParagraph"/>
        <w:rPr>
          <w:b/>
        </w:rPr>
      </w:pPr>
    </w:p>
    <w:p w:rsidR="004F0C19" w:rsidRPr="00827113" w:rsidRDefault="004F0C19" w:rsidP="004F0C19">
      <w:pPr>
        <w:pStyle w:val="ListParagraph"/>
        <w:rPr>
          <w:b/>
        </w:rPr>
      </w:pPr>
    </w:p>
    <w:p w:rsidR="004F0C19" w:rsidRPr="002455BE" w:rsidRDefault="004F0C19" w:rsidP="004F0C19">
      <w:pPr>
        <w:pStyle w:val="Heading1"/>
      </w:pPr>
      <w:bookmarkStart w:id="8" w:name="_Toc400707006"/>
      <w:r w:rsidRPr="002455BE">
        <w:lastRenderedPageBreak/>
        <w:t xml:space="preserve">How </w:t>
      </w:r>
      <w:r>
        <w:t xml:space="preserve">the three largest </w:t>
      </w:r>
      <w:r w:rsidRPr="002455BE">
        <w:t xml:space="preserve">operators behave across </w:t>
      </w:r>
      <w:r>
        <w:t>PTE areas</w:t>
      </w:r>
      <w:bookmarkEnd w:id="8"/>
    </w:p>
    <w:p w:rsidR="004F0C19" w:rsidRPr="00D84A47" w:rsidRDefault="004F0C19" w:rsidP="004F0C19">
      <w:r w:rsidRPr="00D84A47">
        <w:t>The following section explores the profit levels of operators across PTE</w:t>
      </w:r>
      <w:r>
        <w:t>s</w:t>
      </w:r>
      <w:r w:rsidRPr="00D84A47">
        <w:t xml:space="preserve">. The section focuses on the three main operators, Arriva, First and Stagecoach, as they are all present in the majority of PTEs. </w:t>
      </w:r>
    </w:p>
    <w:p w:rsidR="004F0C19" w:rsidRDefault="004F0C19" w:rsidP="004F0C19">
      <w:r w:rsidRPr="00D84A47">
        <w:t>Operating profit has been selected as the indicators for this section. This allows the analysis to focus purely on the profitability of the operations</w:t>
      </w:r>
      <w:r w:rsidRPr="00D84A47">
        <w:rPr>
          <w:rStyle w:val="FootnoteReference"/>
        </w:rPr>
        <w:footnoteReference w:id="2"/>
      </w:r>
      <w:r w:rsidRPr="00D84A47">
        <w:t>.</w:t>
      </w:r>
    </w:p>
    <w:p w:rsidR="004F0C19" w:rsidRPr="000042C8" w:rsidRDefault="004F0C19" w:rsidP="004F0C19">
      <w:pPr>
        <w:keepNext/>
        <w:keepLines/>
        <w:rPr>
          <w:b/>
        </w:rPr>
      </w:pPr>
      <w:proofErr w:type="gramStart"/>
      <w:r>
        <w:rPr>
          <w:b/>
        </w:rPr>
        <w:t>Figure 13.</w:t>
      </w:r>
      <w:proofErr w:type="gramEnd"/>
      <w:r>
        <w:rPr>
          <w:b/>
        </w:rPr>
        <w:t xml:space="preserve"> Operating profit of the big companies in PTE areas</w:t>
      </w:r>
    </w:p>
    <w:p w:rsidR="004F0C19" w:rsidRPr="00D84A47" w:rsidRDefault="002F48D8" w:rsidP="004F0C19">
      <w:pPr>
        <w:keepNext/>
        <w:keepLines/>
      </w:pPr>
      <w:r>
        <w:rPr>
          <w:noProof/>
          <w:lang w:eastAsia="en-GB"/>
        </w:rPr>
        <w:drawing>
          <wp:inline distT="0" distB="0" distL="0" distR="0">
            <wp:extent cx="5431790" cy="3288030"/>
            <wp:effectExtent l="0" t="0" r="16510" b="26670"/>
            <wp:docPr id="1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0C19" w:rsidRPr="00A84D83" w:rsidRDefault="004F0C19" w:rsidP="004F0C19">
      <w:pPr>
        <w:rPr>
          <w:b/>
        </w:rPr>
      </w:pPr>
      <w:r>
        <w:t>Both First and S</w:t>
      </w:r>
      <w:r w:rsidRPr="002C5161">
        <w:t xml:space="preserve">tagecoach have seen reductions in operating profit over the last three years. </w:t>
      </w:r>
      <w:r>
        <w:t>Arriva</w:t>
      </w:r>
      <w:r w:rsidRPr="002C5161">
        <w:t xml:space="preserve"> has seen the reverse, with an increasing trend for the last six years. </w:t>
      </w:r>
    </w:p>
    <w:p w:rsidR="004F0C19" w:rsidRPr="00EE43E4" w:rsidRDefault="004F0C19" w:rsidP="004F0C19">
      <w:pPr>
        <w:rPr>
          <w:b/>
        </w:rPr>
      </w:pPr>
      <w:r>
        <w:t xml:space="preserve">The report now looks at the operators in more detail to see how their different companies act across the PTEs. </w:t>
      </w:r>
    </w:p>
    <w:p w:rsidR="004F0C19" w:rsidRDefault="004F0C19" w:rsidP="004F0C19">
      <w:pPr>
        <w:rPr>
          <w:b/>
        </w:rPr>
      </w:pPr>
    </w:p>
    <w:p w:rsidR="004F0C19" w:rsidRDefault="004F0C19" w:rsidP="004F0C19">
      <w:pPr>
        <w:rPr>
          <w:b/>
        </w:rPr>
      </w:pPr>
    </w:p>
    <w:p w:rsidR="004F0C19" w:rsidRDefault="004F0C19" w:rsidP="004F0C19">
      <w:pPr>
        <w:rPr>
          <w:b/>
        </w:rPr>
      </w:pPr>
    </w:p>
    <w:p w:rsidR="004F0C19" w:rsidRDefault="004F0C19" w:rsidP="004F0C19">
      <w:pPr>
        <w:rPr>
          <w:b/>
        </w:rPr>
      </w:pPr>
    </w:p>
    <w:p w:rsidR="004F0C19" w:rsidRDefault="004F0C19" w:rsidP="004F0C19">
      <w:pPr>
        <w:rPr>
          <w:b/>
        </w:rPr>
      </w:pPr>
    </w:p>
    <w:p w:rsidR="004F0C19" w:rsidRDefault="004F0C19" w:rsidP="004F0C19">
      <w:pPr>
        <w:rPr>
          <w:b/>
        </w:rPr>
      </w:pPr>
    </w:p>
    <w:p w:rsidR="004F0C19" w:rsidRDefault="004F0C19" w:rsidP="004F0C19">
      <w:pPr>
        <w:rPr>
          <w:b/>
        </w:rPr>
      </w:pPr>
    </w:p>
    <w:p w:rsidR="004F0C19" w:rsidRPr="00EE43E4" w:rsidRDefault="004F0C19" w:rsidP="004F0C19">
      <w:pPr>
        <w:keepNext/>
        <w:keepLines/>
        <w:rPr>
          <w:b/>
        </w:rPr>
      </w:pPr>
      <w:proofErr w:type="gramStart"/>
      <w:r>
        <w:rPr>
          <w:b/>
        </w:rPr>
        <w:lastRenderedPageBreak/>
        <w:t>Figure 14.</w:t>
      </w:r>
      <w:proofErr w:type="gramEnd"/>
      <w:r>
        <w:rPr>
          <w:b/>
        </w:rPr>
        <w:t xml:space="preserve"> Operating profit for Arriva companies in PTE areas</w:t>
      </w:r>
    </w:p>
    <w:p w:rsidR="004F0C19" w:rsidRDefault="002F48D8" w:rsidP="004F0C19">
      <w:pPr>
        <w:keepNext/>
        <w:keepLines/>
        <w:rPr>
          <w:color w:val="FF0000"/>
        </w:rPr>
      </w:pPr>
      <w:r>
        <w:rPr>
          <w:noProof/>
          <w:lang w:eastAsia="en-GB"/>
        </w:rPr>
        <w:drawing>
          <wp:inline distT="0" distB="0" distL="0" distR="0">
            <wp:extent cx="5253990" cy="4772660"/>
            <wp:effectExtent l="0" t="0" r="22860" b="27940"/>
            <wp:docPr id="14"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F0C19" w:rsidRDefault="004F0C19" w:rsidP="004F0C19">
      <w:pPr>
        <w:tabs>
          <w:tab w:val="left" w:pos="1110"/>
        </w:tabs>
      </w:pPr>
      <w:r>
        <w:t xml:space="preserve">The operating profit levels of the Arriva companies is closely grouped into two categories – one at around 3-4% (Midlands, Merseyside and West Yorkshire), and one at 10-12% (Manchester and Northumbria). Four different companies have made at some stage in the last ten years, with Arriva North </w:t>
      </w:r>
      <w:proofErr w:type="gramStart"/>
      <w:r>
        <w:t>West</w:t>
      </w:r>
      <w:proofErr w:type="gramEnd"/>
      <w:r>
        <w:t xml:space="preserve"> making a loss over eight years.</w:t>
      </w:r>
    </w:p>
    <w:p w:rsidR="004F0C19" w:rsidRDefault="004F0C19" w:rsidP="004F0C19">
      <w:pPr>
        <w:tabs>
          <w:tab w:val="left" w:pos="1110"/>
        </w:tabs>
      </w:pPr>
      <w:r>
        <w:t xml:space="preserve">The average profit level for the group has recovered well in PTE areas from the recession where it dropped to 0%. Operating profit earned in the most recent years has now surpassed the level earned at the start of the ten year period. </w:t>
      </w:r>
    </w:p>
    <w:p w:rsidR="004F0C19" w:rsidRDefault="004F0C19" w:rsidP="004F0C19">
      <w:pPr>
        <w:tabs>
          <w:tab w:val="left" w:pos="1110"/>
        </w:tabs>
      </w:pPr>
      <w:r>
        <w:tab/>
      </w:r>
    </w:p>
    <w:p w:rsidR="004F0C19" w:rsidRPr="00D84A47" w:rsidRDefault="004F0C19" w:rsidP="004F0C19">
      <w:pPr>
        <w:keepNext/>
        <w:keepLines/>
        <w:tabs>
          <w:tab w:val="left" w:pos="1110"/>
        </w:tabs>
        <w:rPr>
          <w:b/>
        </w:rPr>
      </w:pPr>
      <w:proofErr w:type="gramStart"/>
      <w:r>
        <w:rPr>
          <w:b/>
        </w:rPr>
        <w:lastRenderedPageBreak/>
        <w:t>Figure 15.</w:t>
      </w:r>
      <w:proofErr w:type="gramEnd"/>
      <w:r>
        <w:rPr>
          <w:b/>
        </w:rPr>
        <w:t xml:space="preserve"> Operating profit for Stagecoach companies in PTE areas</w:t>
      </w:r>
    </w:p>
    <w:p w:rsidR="004F0C19" w:rsidRDefault="002F48D8" w:rsidP="004F0C19">
      <w:pPr>
        <w:keepNext/>
        <w:keepLines/>
        <w:tabs>
          <w:tab w:val="left" w:pos="1110"/>
        </w:tabs>
      </w:pPr>
      <w:r>
        <w:rPr>
          <w:noProof/>
          <w:lang w:eastAsia="en-GB"/>
        </w:rPr>
        <w:drawing>
          <wp:inline distT="0" distB="0" distL="0" distR="0">
            <wp:extent cx="5193030" cy="5253990"/>
            <wp:effectExtent l="0" t="0" r="26670" b="22860"/>
            <wp:docPr id="13"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F0C19" w:rsidRDefault="004F0C19" w:rsidP="004F0C19">
      <w:r>
        <w:t xml:space="preserve">There is a wide variance in profit levels for Stagecoach companies, with no real trends emerging. There </w:t>
      </w:r>
      <w:r w:rsidR="002F48D8">
        <w:t xml:space="preserve">is </w:t>
      </w:r>
      <w:r>
        <w:t xml:space="preserve">a cluster of companies earning between 2-7% operating </w:t>
      </w:r>
      <w:proofErr w:type="gramStart"/>
      <w:r>
        <w:t>profit</w:t>
      </w:r>
      <w:proofErr w:type="gramEnd"/>
      <w:r>
        <w:t>, however, the spread of companies is from over 20% to below -5%.</w:t>
      </w:r>
    </w:p>
    <w:p w:rsidR="004F0C19" w:rsidRDefault="004F0C19" w:rsidP="004F0C19">
      <w:r>
        <w:t xml:space="preserve">The average operating profit of the group in PTE areas is just under 10%, having decreased from 15% a couple of years ago. The level is now just above that at the start of the ten year period. This demonstrates a strong recovery from the recession, with only one company, the Yorkshire Traction Company making a loss.  </w:t>
      </w:r>
    </w:p>
    <w:p w:rsidR="004F0C19" w:rsidRDefault="004F0C19" w:rsidP="004F0C19"/>
    <w:p w:rsidR="004F0C19" w:rsidRPr="00D84A47" w:rsidRDefault="004F0C19" w:rsidP="004F0C19">
      <w:pPr>
        <w:keepNext/>
        <w:keepLines/>
        <w:rPr>
          <w:b/>
        </w:rPr>
      </w:pPr>
      <w:proofErr w:type="gramStart"/>
      <w:r>
        <w:rPr>
          <w:b/>
        </w:rPr>
        <w:lastRenderedPageBreak/>
        <w:t>Figure 16.</w:t>
      </w:r>
      <w:proofErr w:type="gramEnd"/>
      <w:r>
        <w:rPr>
          <w:b/>
        </w:rPr>
        <w:t xml:space="preserve"> Operating profit for First bus companies in PTE areas</w:t>
      </w:r>
    </w:p>
    <w:p w:rsidR="004F0C19" w:rsidRDefault="002F48D8" w:rsidP="004F0C19">
      <w:pPr>
        <w:keepNext/>
        <w:keepLines/>
      </w:pPr>
      <w:r>
        <w:rPr>
          <w:noProof/>
          <w:lang w:eastAsia="en-GB"/>
        </w:rPr>
        <w:drawing>
          <wp:inline distT="0" distB="0" distL="0" distR="0">
            <wp:extent cx="5464810" cy="5582920"/>
            <wp:effectExtent l="0" t="0" r="21590" b="17780"/>
            <wp:docPr id="1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F0C19" w:rsidRDefault="004F0C19" w:rsidP="004F0C19">
      <w:r>
        <w:t xml:space="preserve">Over the last two years there has been a significant fall in operating profit of all First bus companies in PTE areas. Before this, profit levels had been running at between 10-15%. Operating profits are still high in West Yorkshire, running at 10%, although this is down from over 20% a couple of years ago. </w:t>
      </w:r>
    </w:p>
    <w:p w:rsidR="004F0C19" w:rsidRDefault="004F0C19" w:rsidP="004F0C19">
      <w:r>
        <w:t xml:space="preserve">Having recovered from the recession, the group operating profit level has reduced significantly to below 5%. Only one company is making a loss, First South Yorkshire, at almost -10% operating loss, which is skewing the group average downwards. </w:t>
      </w:r>
    </w:p>
    <w:p w:rsidR="004F0C19" w:rsidRPr="005B6B80" w:rsidRDefault="004F0C19" w:rsidP="004F0C19">
      <w:pPr>
        <w:pStyle w:val="Heading1"/>
      </w:pPr>
      <w:bookmarkStart w:id="9" w:name="_Toc400707007"/>
      <w:r>
        <w:t>Top 10 p</w:t>
      </w:r>
      <w:r w:rsidRPr="005B6B80">
        <w:t xml:space="preserve">rofit making companies over the </w:t>
      </w:r>
      <w:r>
        <w:t>last</w:t>
      </w:r>
      <w:r w:rsidRPr="005B6B80">
        <w:t xml:space="preserve"> ten years</w:t>
      </w:r>
      <w:bookmarkEnd w:id="9"/>
    </w:p>
    <w:p w:rsidR="004F0C19" w:rsidRDefault="004F0C19" w:rsidP="004F0C19">
      <w:r>
        <w:t xml:space="preserve">The table below lists the top ten profit making companies by operating profit over the last ten years. The also shows, for each of these companies, what proportion of turnover flowed out of the company as dividends and what proportion was retained by the company. </w:t>
      </w:r>
    </w:p>
    <w:p w:rsidR="004F0C19" w:rsidRDefault="004F0C19" w:rsidP="004F0C19">
      <w:r>
        <w:t>The list is topped by Stagecoach in Tyne and Wear (</w:t>
      </w:r>
      <w:proofErr w:type="spellStart"/>
      <w:r>
        <w:t>Busways</w:t>
      </w:r>
      <w:proofErr w:type="spellEnd"/>
      <w:r>
        <w:t xml:space="preserve">) with an average operating profit margin of 18.8%. Midland Red (Stagecoach in Coventry and Warwickshire) takes </w:t>
      </w:r>
      <w:r>
        <w:lastRenderedPageBreak/>
        <w:t>second place and First West Yorkshire takes third place with profit margins of, respectively, 15.8% and 15.6%. National Express (West Midlands travel) comes fourth with 11.3%. All other PTE bus companies have had average operating profit margins below 10%.</w:t>
      </w:r>
    </w:p>
    <w:p w:rsidR="004F0C19" w:rsidRDefault="004F0C19" w:rsidP="004F0C19">
      <w:r>
        <w:t xml:space="preserve">If we look instead at pre-tax profit margins (i.e.: taking into account interest payments), First West Yorkshire tops the table, which suggests the company may have used a considerable proportion of past earnings for intra-group loans. This seems to have also been the case at Midland Red (Stagecoach), First Manchester, East Midland Motor Services (Stagecoach) and Arriva </w:t>
      </w:r>
      <w:proofErr w:type="spellStart"/>
      <w:r>
        <w:t>Merseytravel</w:t>
      </w:r>
      <w:proofErr w:type="spellEnd"/>
      <w:r>
        <w:t>.</w:t>
      </w:r>
    </w:p>
    <w:p w:rsidR="004F0C19" w:rsidRPr="008235C3" w:rsidRDefault="004F0C19" w:rsidP="004F0C19"/>
    <w:p w:rsidR="004F0C19" w:rsidRPr="005B6B80" w:rsidRDefault="004F0C19" w:rsidP="004F0C19">
      <w:proofErr w:type="gramStart"/>
      <w:r>
        <w:rPr>
          <w:b/>
        </w:rPr>
        <w:t>Figure 17.</w:t>
      </w:r>
      <w:proofErr w:type="gramEnd"/>
      <w:r>
        <w:rPr>
          <w:b/>
        </w:rPr>
        <w:t xml:space="preserve"> Top 10 profit making companies over the last ten years</w:t>
      </w:r>
    </w:p>
    <w:tbl>
      <w:tblPr>
        <w:tblStyle w:val="TableGrid"/>
        <w:tblW w:w="0" w:type="auto"/>
        <w:tblLook w:val="04A0" w:firstRow="1" w:lastRow="0" w:firstColumn="1" w:lastColumn="0" w:noHBand="0" w:noVBand="1"/>
      </w:tblPr>
      <w:tblGrid>
        <w:gridCol w:w="2400"/>
        <w:gridCol w:w="1361"/>
        <w:gridCol w:w="1350"/>
        <w:gridCol w:w="1222"/>
        <w:gridCol w:w="1491"/>
        <w:gridCol w:w="1418"/>
      </w:tblGrid>
      <w:tr w:rsidR="004F0C19" w:rsidRPr="00FE6DAA" w:rsidTr="004F0C19">
        <w:tc>
          <w:tcPr>
            <w:tcW w:w="0" w:type="auto"/>
          </w:tcPr>
          <w:p w:rsidR="004F0C19" w:rsidRPr="00FE6DAA" w:rsidRDefault="004F0C19" w:rsidP="004F0C19">
            <w:pPr>
              <w:rPr>
                <w:b/>
                <w:sz w:val="20"/>
                <w:szCs w:val="20"/>
              </w:rPr>
            </w:pPr>
            <w:r w:rsidRPr="00FE6DAA">
              <w:rPr>
                <w:b/>
                <w:sz w:val="20"/>
                <w:szCs w:val="20"/>
              </w:rPr>
              <w:t>Company</w:t>
            </w:r>
          </w:p>
        </w:tc>
        <w:tc>
          <w:tcPr>
            <w:tcW w:w="0" w:type="auto"/>
          </w:tcPr>
          <w:p w:rsidR="004F0C19" w:rsidRPr="00FE6DAA" w:rsidRDefault="004F0C19" w:rsidP="004F0C19">
            <w:pPr>
              <w:rPr>
                <w:b/>
                <w:sz w:val="20"/>
                <w:szCs w:val="20"/>
              </w:rPr>
            </w:pPr>
            <w:r w:rsidRPr="00FE6DAA">
              <w:rPr>
                <w:b/>
                <w:sz w:val="20"/>
                <w:szCs w:val="20"/>
              </w:rPr>
              <w:t>PTE</w:t>
            </w:r>
          </w:p>
        </w:tc>
        <w:tc>
          <w:tcPr>
            <w:tcW w:w="1350" w:type="dxa"/>
          </w:tcPr>
          <w:p w:rsidR="004F0C19" w:rsidRPr="00FE6DAA" w:rsidRDefault="004F0C19" w:rsidP="004F0C19">
            <w:pPr>
              <w:jc w:val="right"/>
              <w:rPr>
                <w:b/>
                <w:sz w:val="20"/>
                <w:szCs w:val="20"/>
              </w:rPr>
            </w:pPr>
            <w:r w:rsidRPr="00FE6DAA">
              <w:rPr>
                <w:b/>
                <w:sz w:val="20"/>
                <w:szCs w:val="20"/>
              </w:rPr>
              <w:t>Operating profit (%)</w:t>
            </w:r>
          </w:p>
        </w:tc>
        <w:tc>
          <w:tcPr>
            <w:tcW w:w="1222" w:type="dxa"/>
          </w:tcPr>
          <w:p w:rsidR="004F0C19" w:rsidRPr="00FE6DAA" w:rsidRDefault="004F0C19" w:rsidP="004F0C19">
            <w:pPr>
              <w:jc w:val="right"/>
              <w:rPr>
                <w:b/>
                <w:sz w:val="20"/>
                <w:szCs w:val="20"/>
              </w:rPr>
            </w:pPr>
            <w:r w:rsidRPr="00FE6DAA">
              <w:rPr>
                <w:b/>
                <w:sz w:val="20"/>
                <w:szCs w:val="20"/>
              </w:rPr>
              <w:t>Pre-tax profit (%)</w:t>
            </w:r>
          </w:p>
        </w:tc>
        <w:tc>
          <w:tcPr>
            <w:tcW w:w="0" w:type="auto"/>
          </w:tcPr>
          <w:p w:rsidR="004F0C19" w:rsidRPr="00FE6DAA" w:rsidRDefault="004F0C19" w:rsidP="004F0C19">
            <w:pPr>
              <w:jc w:val="right"/>
              <w:rPr>
                <w:b/>
                <w:sz w:val="20"/>
                <w:szCs w:val="20"/>
              </w:rPr>
            </w:pPr>
            <w:r w:rsidRPr="00FE6DAA">
              <w:rPr>
                <w:b/>
                <w:sz w:val="20"/>
                <w:szCs w:val="20"/>
              </w:rPr>
              <w:t>Dividends paid (%)</w:t>
            </w:r>
          </w:p>
        </w:tc>
        <w:tc>
          <w:tcPr>
            <w:tcW w:w="0" w:type="auto"/>
          </w:tcPr>
          <w:p w:rsidR="004F0C19" w:rsidRPr="00FE6DAA" w:rsidRDefault="004F0C19" w:rsidP="004F0C19">
            <w:pPr>
              <w:jc w:val="right"/>
              <w:rPr>
                <w:b/>
                <w:sz w:val="20"/>
                <w:szCs w:val="20"/>
              </w:rPr>
            </w:pPr>
            <w:r w:rsidRPr="00FE6DAA">
              <w:rPr>
                <w:b/>
                <w:sz w:val="20"/>
                <w:szCs w:val="20"/>
              </w:rPr>
              <w:t>Retained profit (%)</w:t>
            </w:r>
          </w:p>
        </w:tc>
      </w:tr>
      <w:tr w:rsidR="004F0C19" w:rsidRPr="00FE6DAA" w:rsidTr="004F0C19">
        <w:tc>
          <w:tcPr>
            <w:tcW w:w="0" w:type="auto"/>
          </w:tcPr>
          <w:p w:rsidR="004F0C19" w:rsidRPr="00FE6DAA" w:rsidRDefault="004F0C19" w:rsidP="004F0C19">
            <w:pPr>
              <w:rPr>
                <w:sz w:val="20"/>
                <w:szCs w:val="20"/>
              </w:rPr>
            </w:pPr>
            <w:proofErr w:type="spellStart"/>
            <w:r w:rsidRPr="00FE6DAA">
              <w:rPr>
                <w:sz w:val="20"/>
                <w:szCs w:val="20"/>
              </w:rPr>
              <w:t>Busways</w:t>
            </w:r>
            <w:proofErr w:type="spellEnd"/>
            <w:r w:rsidRPr="00FE6DAA">
              <w:rPr>
                <w:sz w:val="20"/>
                <w:szCs w:val="20"/>
              </w:rPr>
              <w:t xml:space="preserve"> (Stagecoach)</w:t>
            </w:r>
          </w:p>
        </w:tc>
        <w:tc>
          <w:tcPr>
            <w:tcW w:w="0" w:type="auto"/>
          </w:tcPr>
          <w:p w:rsidR="004F0C19" w:rsidRPr="00FE6DAA" w:rsidRDefault="004F0C19" w:rsidP="004F0C19">
            <w:pPr>
              <w:rPr>
                <w:sz w:val="20"/>
                <w:szCs w:val="20"/>
              </w:rPr>
            </w:pPr>
            <w:r w:rsidRPr="00FE6DAA">
              <w:rPr>
                <w:sz w:val="20"/>
                <w:szCs w:val="20"/>
              </w:rPr>
              <w:t>NEXUS</w:t>
            </w:r>
          </w:p>
        </w:tc>
        <w:tc>
          <w:tcPr>
            <w:tcW w:w="1350" w:type="dxa"/>
          </w:tcPr>
          <w:p w:rsidR="004F0C19" w:rsidRPr="00FE6DAA" w:rsidRDefault="004F0C19" w:rsidP="004F0C19">
            <w:pPr>
              <w:jc w:val="right"/>
              <w:rPr>
                <w:b/>
                <w:sz w:val="20"/>
                <w:szCs w:val="20"/>
              </w:rPr>
            </w:pPr>
            <w:r w:rsidRPr="00FE6DAA">
              <w:rPr>
                <w:b/>
                <w:sz w:val="20"/>
                <w:szCs w:val="20"/>
              </w:rPr>
              <w:t>18.8</w:t>
            </w:r>
          </w:p>
        </w:tc>
        <w:tc>
          <w:tcPr>
            <w:tcW w:w="1222" w:type="dxa"/>
          </w:tcPr>
          <w:p w:rsidR="004F0C19" w:rsidRPr="00FE6DAA" w:rsidRDefault="004F0C19" w:rsidP="004F0C19">
            <w:pPr>
              <w:jc w:val="right"/>
              <w:rPr>
                <w:sz w:val="20"/>
                <w:szCs w:val="20"/>
              </w:rPr>
            </w:pPr>
            <w:r w:rsidRPr="00FE6DAA">
              <w:rPr>
                <w:sz w:val="20"/>
                <w:szCs w:val="20"/>
              </w:rPr>
              <w:t>18.5</w:t>
            </w:r>
          </w:p>
        </w:tc>
        <w:tc>
          <w:tcPr>
            <w:tcW w:w="0" w:type="auto"/>
          </w:tcPr>
          <w:p w:rsidR="004F0C19" w:rsidRPr="00FE6DAA" w:rsidRDefault="004F0C19" w:rsidP="004F0C19">
            <w:pPr>
              <w:jc w:val="right"/>
              <w:rPr>
                <w:sz w:val="20"/>
                <w:szCs w:val="20"/>
              </w:rPr>
            </w:pPr>
            <w:r w:rsidRPr="00FE6DAA">
              <w:rPr>
                <w:sz w:val="20"/>
                <w:szCs w:val="20"/>
              </w:rPr>
              <w:t>10.6</w:t>
            </w:r>
          </w:p>
        </w:tc>
        <w:tc>
          <w:tcPr>
            <w:tcW w:w="0" w:type="auto"/>
          </w:tcPr>
          <w:p w:rsidR="004F0C19" w:rsidRPr="00FE6DAA" w:rsidRDefault="004F0C19" w:rsidP="004F0C19">
            <w:pPr>
              <w:jc w:val="right"/>
              <w:rPr>
                <w:sz w:val="20"/>
                <w:szCs w:val="20"/>
              </w:rPr>
            </w:pPr>
            <w:r w:rsidRPr="00FE6DAA">
              <w:rPr>
                <w:sz w:val="20"/>
                <w:szCs w:val="20"/>
              </w:rPr>
              <w:t>3.2</w:t>
            </w:r>
          </w:p>
        </w:tc>
      </w:tr>
      <w:tr w:rsidR="004F0C19" w:rsidRPr="00FE6DAA" w:rsidTr="004F0C19">
        <w:tc>
          <w:tcPr>
            <w:tcW w:w="0" w:type="auto"/>
          </w:tcPr>
          <w:p w:rsidR="004F0C19" w:rsidRPr="00FE6DAA" w:rsidRDefault="004F0C19" w:rsidP="004F0C19">
            <w:pPr>
              <w:rPr>
                <w:sz w:val="20"/>
                <w:szCs w:val="20"/>
              </w:rPr>
            </w:pPr>
            <w:r w:rsidRPr="00FE6DAA">
              <w:rPr>
                <w:sz w:val="20"/>
                <w:szCs w:val="20"/>
              </w:rPr>
              <w:t>Midland Red (Stagecoach)</w:t>
            </w:r>
          </w:p>
        </w:tc>
        <w:tc>
          <w:tcPr>
            <w:tcW w:w="0" w:type="auto"/>
          </w:tcPr>
          <w:p w:rsidR="004F0C19" w:rsidRPr="00FE6DAA" w:rsidRDefault="004F0C19" w:rsidP="004F0C19">
            <w:pPr>
              <w:rPr>
                <w:sz w:val="20"/>
                <w:szCs w:val="20"/>
              </w:rPr>
            </w:pPr>
            <w:r w:rsidRPr="00FE6DAA">
              <w:rPr>
                <w:sz w:val="20"/>
                <w:szCs w:val="20"/>
              </w:rPr>
              <w:t>Centro</w:t>
            </w:r>
          </w:p>
        </w:tc>
        <w:tc>
          <w:tcPr>
            <w:tcW w:w="1350" w:type="dxa"/>
          </w:tcPr>
          <w:p w:rsidR="004F0C19" w:rsidRPr="00FE6DAA" w:rsidRDefault="004F0C19" w:rsidP="004F0C19">
            <w:pPr>
              <w:jc w:val="right"/>
              <w:rPr>
                <w:sz w:val="20"/>
                <w:szCs w:val="20"/>
              </w:rPr>
            </w:pPr>
            <w:r w:rsidRPr="00FE6DAA">
              <w:rPr>
                <w:sz w:val="20"/>
                <w:szCs w:val="20"/>
              </w:rPr>
              <w:t>15.8</w:t>
            </w:r>
          </w:p>
        </w:tc>
        <w:tc>
          <w:tcPr>
            <w:tcW w:w="1222" w:type="dxa"/>
          </w:tcPr>
          <w:p w:rsidR="004F0C19" w:rsidRPr="00FE6DAA" w:rsidRDefault="004F0C19" w:rsidP="004F0C19">
            <w:pPr>
              <w:jc w:val="right"/>
              <w:rPr>
                <w:sz w:val="20"/>
                <w:szCs w:val="20"/>
              </w:rPr>
            </w:pPr>
            <w:r w:rsidRPr="00FE6DAA">
              <w:rPr>
                <w:sz w:val="20"/>
                <w:szCs w:val="20"/>
              </w:rPr>
              <w:t>18.5</w:t>
            </w:r>
          </w:p>
        </w:tc>
        <w:tc>
          <w:tcPr>
            <w:tcW w:w="0" w:type="auto"/>
          </w:tcPr>
          <w:p w:rsidR="004F0C19" w:rsidRPr="00FE6DAA" w:rsidRDefault="004F0C19" w:rsidP="004F0C19">
            <w:pPr>
              <w:jc w:val="right"/>
              <w:rPr>
                <w:sz w:val="20"/>
                <w:szCs w:val="20"/>
              </w:rPr>
            </w:pPr>
            <w:r w:rsidRPr="00FE6DAA">
              <w:rPr>
                <w:sz w:val="20"/>
                <w:szCs w:val="20"/>
              </w:rPr>
              <w:t>14.5</w:t>
            </w:r>
          </w:p>
        </w:tc>
        <w:tc>
          <w:tcPr>
            <w:tcW w:w="0" w:type="auto"/>
          </w:tcPr>
          <w:p w:rsidR="004F0C19" w:rsidRPr="00FE6DAA" w:rsidRDefault="004F0C19" w:rsidP="004F0C19">
            <w:pPr>
              <w:jc w:val="right"/>
              <w:rPr>
                <w:sz w:val="20"/>
                <w:szCs w:val="20"/>
              </w:rPr>
            </w:pPr>
            <w:r w:rsidRPr="00FE6DAA">
              <w:rPr>
                <w:sz w:val="20"/>
                <w:szCs w:val="20"/>
              </w:rPr>
              <w:t>-0.2</w:t>
            </w:r>
          </w:p>
        </w:tc>
      </w:tr>
      <w:tr w:rsidR="004F0C19" w:rsidRPr="00FE6DAA" w:rsidTr="004F0C19">
        <w:tc>
          <w:tcPr>
            <w:tcW w:w="0" w:type="auto"/>
          </w:tcPr>
          <w:p w:rsidR="004F0C19" w:rsidRPr="00FE6DAA" w:rsidRDefault="004F0C19" w:rsidP="004F0C19">
            <w:pPr>
              <w:rPr>
                <w:sz w:val="20"/>
                <w:szCs w:val="20"/>
              </w:rPr>
            </w:pPr>
            <w:r w:rsidRPr="00FE6DAA">
              <w:rPr>
                <w:sz w:val="20"/>
                <w:szCs w:val="20"/>
              </w:rPr>
              <w:t xml:space="preserve">First West Yorkshire </w:t>
            </w:r>
          </w:p>
        </w:tc>
        <w:tc>
          <w:tcPr>
            <w:tcW w:w="0" w:type="auto"/>
          </w:tcPr>
          <w:p w:rsidR="004F0C19" w:rsidRPr="00FE6DAA" w:rsidRDefault="004F0C19" w:rsidP="004F0C19">
            <w:pPr>
              <w:rPr>
                <w:sz w:val="20"/>
                <w:szCs w:val="20"/>
              </w:rPr>
            </w:pPr>
            <w:r w:rsidRPr="00FE6DAA">
              <w:rPr>
                <w:sz w:val="20"/>
                <w:szCs w:val="20"/>
              </w:rPr>
              <w:t>WYCA</w:t>
            </w:r>
          </w:p>
        </w:tc>
        <w:tc>
          <w:tcPr>
            <w:tcW w:w="1350" w:type="dxa"/>
          </w:tcPr>
          <w:p w:rsidR="004F0C19" w:rsidRPr="00FE6DAA" w:rsidRDefault="004F0C19" w:rsidP="004F0C19">
            <w:pPr>
              <w:jc w:val="right"/>
              <w:rPr>
                <w:sz w:val="20"/>
                <w:szCs w:val="20"/>
              </w:rPr>
            </w:pPr>
            <w:r w:rsidRPr="00FE6DAA">
              <w:rPr>
                <w:sz w:val="20"/>
                <w:szCs w:val="20"/>
              </w:rPr>
              <w:t>15.6</w:t>
            </w:r>
          </w:p>
        </w:tc>
        <w:tc>
          <w:tcPr>
            <w:tcW w:w="1222" w:type="dxa"/>
          </w:tcPr>
          <w:p w:rsidR="004F0C19" w:rsidRPr="00FE6DAA" w:rsidRDefault="004F0C19" w:rsidP="004F0C19">
            <w:pPr>
              <w:jc w:val="right"/>
              <w:rPr>
                <w:b/>
                <w:sz w:val="20"/>
                <w:szCs w:val="20"/>
              </w:rPr>
            </w:pPr>
            <w:r w:rsidRPr="00FE6DAA">
              <w:rPr>
                <w:b/>
                <w:sz w:val="20"/>
                <w:szCs w:val="20"/>
              </w:rPr>
              <w:t>20.5</w:t>
            </w:r>
          </w:p>
        </w:tc>
        <w:tc>
          <w:tcPr>
            <w:tcW w:w="0" w:type="auto"/>
          </w:tcPr>
          <w:p w:rsidR="004F0C19" w:rsidRPr="00FE6DAA" w:rsidRDefault="004F0C19" w:rsidP="004F0C19">
            <w:pPr>
              <w:jc w:val="right"/>
              <w:rPr>
                <w:sz w:val="20"/>
                <w:szCs w:val="20"/>
              </w:rPr>
            </w:pPr>
            <w:r w:rsidRPr="00FE6DAA">
              <w:rPr>
                <w:sz w:val="20"/>
                <w:szCs w:val="20"/>
              </w:rPr>
              <w:t>11.9</w:t>
            </w:r>
          </w:p>
        </w:tc>
        <w:tc>
          <w:tcPr>
            <w:tcW w:w="0" w:type="auto"/>
          </w:tcPr>
          <w:p w:rsidR="004F0C19" w:rsidRPr="00FE6DAA" w:rsidRDefault="004F0C19" w:rsidP="004F0C19">
            <w:pPr>
              <w:jc w:val="right"/>
              <w:rPr>
                <w:sz w:val="20"/>
                <w:szCs w:val="20"/>
              </w:rPr>
            </w:pPr>
            <w:r w:rsidRPr="00FE6DAA">
              <w:rPr>
                <w:sz w:val="20"/>
                <w:szCs w:val="20"/>
              </w:rPr>
              <w:t>3.1</w:t>
            </w:r>
          </w:p>
        </w:tc>
      </w:tr>
      <w:tr w:rsidR="004F0C19" w:rsidRPr="00FE6DAA" w:rsidTr="004F0C19">
        <w:tc>
          <w:tcPr>
            <w:tcW w:w="0" w:type="auto"/>
          </w:tcPr>
          <w:p w:rsidR="004F0C19" w:rsidRPr="00FE6DAA" w:rsidRDefault="004F0C19" w:rsidP="004F0C19">
            <w:pPr>
              <w:rPr>
                <w:sz w:val="20"/>
                <w:szCs w:val="20"/>
              </w:rPr>
            </w:pPr>
            <w:r w:rsidRPr="00FE6DAA">
              <w:rPr>
                <w:sz w:val="20"/>
                <w:szCs w:val="20"/>
              </w:rPr>
              <w:t>West Midlands Travel (Nat Ex)</w:t>
            </w:r>
          </w:p>
        </w:tc>
        <w:tc>
          <w:tcPr>
            <w:tcW w:w="0" w:type="auto"/>
          </w:tcPr>
          <w:p w:rsidR="004F0C19" w:rsidRPr="00FE6DAA" w:rsidRDefault="004F0C19" w:rsidP="004F0C19">
            <w:pPr>
              <w:rPr>
                <w:sz w:val="20"/>
                <w:szCs w:val="20"/>
              </w:rPr>
            </w:pPr>
            <w:r w:rsidRPr="00FE6DAA">
              <w:rPr>
                <w:sz w:val="20"/>
                <w:szCs w:val="20"/>
              </w:rPr>
              <w:t>Centro</w:t>
            </w:r>
          </w:p>
        </w:tc>
        <w:tc>
          <w:tcPr>
            <w:tcW w:w="1350" w:type="dxa"/>
          </w:tcPr>
          <w:p w:rsidR="004F0C19" w:rsidRPr="00FE6DAA" w:rsidRDefault="004F0C19" w:rsidP="004F0C19">
            <w:pPr>
              <w:jc w:val="right"/>
              <w:rPr>
                <w:sz w:val="20"/>
                <w:szCs w:val="20"/>
              </w:rPr>
            </w:pPr>
            <w:r w:rsidRPr="00FE6DAA">
              <w:rPr>
                <w:sz w:val="20"/>
                <w:szCs w:val="20"/>
              </w:rPr>
              <w:t>11.3</w:t>
            </w:r>
          </w:p>
        </w:tc>
        <w:tc>
          <w:tcPr>
            <w:tcW w:w="1222" w:type="dxa"/>
          </w:tcPr>
          <w:p w:rsidR="004F0C19" w:rsidRPr="00FE6DAA" w:rsidRDefault="004F0C19" w:rsidP="004F0C19">
            <w:pPr>
              <w:jc w:val="right"/>
              <w:rPr>
                <w:sz w:val="20"/>
                <w:szCs w:val="20"/>
              </w:rPr>
            </w:pPr>
            <w:r w:rsidRPr="00FE6DAA">
              <w:rPr>
                <w:sz w:val="20"/>
                <w:szCs w:val="20"/>
              </w:rPr>
              <w:t>12</w:t>
            </w:r>
          </w:p>
        </w:tc>
        <w:tc>
          <w:tcPr>
            <w:tcW w:w="0" w:type="auto"/>
          </w:tcPr>
          <w:p w:rsidR="004F0C19" w:rsidRPr="00FE6DAA" w:rsidRDefault="004F0C19" w:rsidP="004F0C19">
            <w:pPr>
              <w:jc w:val="right"/>
              <w:rPr>
                <w:sz w:val="20"/>
                <w:szCs w:val="20"/>
              </w:rPr>
            </w:pPr>
            <w:r w:rsidRPr="00FE6DAA">
              <w:rPr>
                <w:sz w:val="20"/>
                <w:szCs w:val="20"/>
              </w:rPr>
              <w:t>6.3</w:t>
            </w:r>
          </w:p>
        </w:tc>
        <w:tc>
          <w:tcPr>
            <w:tcW w:w="0" w:type="auto"/>
          </w:tcPr>
          <w:p w:rsidR="004F0C19" w:rsidRPr="00FE6DAA" w:rsidRDefault="004F0C19" w:rsidP="004F0C19">
            <w:pPr>
              <w:jc w:val="right"/>
              <w:rPr>
                <w:sz w:val="20"/>
                <w:szCs w:val="20"/>
              </w:rPr>
            </w:pPr>
            <w:r w:rsidRPr="00FE6DAA">
              <w:rPr>
                <w:sz w:val="20"/>
                <w:szCs w:val="20"/>
              </w:rPr>
              <w:t>3</w:t>
            </w:r>
          </w:p>
        </w:tc>
      </w:tr>
      <w:tr w:rsidR="004F0C19" w:rsidRPr="00FE6DAA" w:rsidTr="004F0C19">
        <w:tc>
          <w:tcPr>
            <w:tcW w:w="0" w:type="auto"/>
          </w:tcPr>
          <w:p w:rsidR="004F0C19" w:rsidRPr="00FE6DAA" w:rsidRDefault="004F0C19" w:rsidP="004F0C19">
            <w:pPr>
              <w:rPr>
                <w:sz w:val="20"/>
                <w:szCs w:val="20"/>
              </w:rPr>
            </w:pPr>
            <w:r w:rsidRPr="00FE6DAA">
              <w:rPr>
                <w:sz w:val="20"/>
                <w:szCs w:val="20"/>
              </w:rPr>
              <w:t>First Manchester</w:t>
            </w:r>
          </w:p>
        </w:tc>
        <w:tc>
          <w:tcPr>
            <w:tcW w:w="0" w:type="auto"/>
          </w:tcPr>
          <w:p w:rsidR="004F0C19" w:rsidRPr="00FE6DAA" w:rsidRDefault="004F0C19" w:rsidP="004F0C19">
            <w:pPr>
              <w:rPr>
                <w:sz w:val="20"/>
                <w:szCs w:val="20"/>
              </w:rPr>
            </w:pPr>
            <w:proofErr w:type="spellStart"/>
            <w:r w:rsidRPr="00FE6DAA">
              <w:rPr>
                <w:sz w:val="20"/>
                <w:szCs w:val="20"/>
              </w:rPr>
              <w:t>TfGM</w:t>
            </w:r>
            <w:proofErr w:type="spellEnd"/>
          </w:p>
        </w:tc>
        <w:tc>
          <w:tcPr>
            <w:tcW w:w="1350" w:type="dxa"/>
          </w:tcPr>
          <w:p w:rsidR="004F0C19" w:rsidRPr="00FE6DAA" w:rsidRDefault="004F0C19" w:rsidP="004F0C19">
            <w:pPr>
              <w:jc w:val="right"/>
              <w:rPr>
                <w:sz w:val="20"/>
                <w:szCs w:val="20"/>
              </w:rPr>
            </w:pPr>
            <w:r w:rsidRPr="00FE6DAA">
              <w:rPr>
                <w:sz w:val="20"/>
                <w:szCs w:val="20"/>
              </w:rPr>
              <w:t>8.6</w:t>
            </w:r>
          </w:p>
        </w:tc>
        <w:tc>
          <w:tcPr>
            <w:tcW w:w="1222" w:type="dxa"/>
          </w:tcPr>
          <w:p w:rsidR="004F0C19" w:rsidRPr="00FE6DAA" w:rsidRDefault="004F0C19" w:rsidP="004F0C19">
            <w:pPr>
              <w:jc w:val="right"/>
              <w:rPr>
                <w:sz w:val="20"/>
                <w:szCs w:val="20"/>
              </w:rPr>
            </w:pPr>
            <w:r w:rsidRPr="00FE6DAA">
              <w:rPr>
                <w:sz w:val="20"/>
                <w:szCs w:val="20"/>
              </w:rPr>
              <w:t>10.5</w:t>
            </w:r>
          </w:p>
        </w:tc>
        <w:tc>
          <w:tcPr>
            <w:tcW w:w="0" w:type="auto"/>
          </w:tcPr>
          <w:p w:rsidR="004F0C19" w:rsidRPr="00FE6DAA" w:rsidRDefault="004F0C19" w:rsidP="004F0C19">
            <w:pPr>
              <w:jc w:val="right"/>
              <w:rPr>
                <w:sz w:val="20"/>
                <w:szCs w:val="20"/>
              </w:rPr>
            </w:pPr>
            <w:r w:rsidRPr="00FE6DAA">
              <w:rPr>
                <w:sz w:val="20"/>
                <w:szCs w:val="20"/>
              </w:rPr>
              <w:t>7.3</w:t>
            </w:r>
          </w:p>
        </w:tc>
        <w:tc>
          <w:tcPr>
            <w:tcW w:w="0" w:type="auto"/>
          </w:tcPr>
          <w:p w:rsidR="004F0C19" w:rsidRPr="00FE6DAA" w:rsidRDefault="004F0C19" w:rsidP="004F0C19">
            <w:pPr>
              <w:jc w:val="right"/>
              <w:rPr>
                <w:sz w:val="20"/>
                <w:szCs w:val="20"/>
              </w:rPr>
            </w:pPr>
            <w:r w:rsidRPr="00FE6DAA">
              <w:rPr>
                <w:sz w:val="20"/>
                <w:szCs w:val="20"/>
              </w:rPr>
              <w:t>0.6</w:t>
            </w:r>
          </w:p>
        </w:tc>
      </w:tr>
      <w:tr w:rsidR="004F0C19" w:rsidRPr="00FE6DAA" w:rsidTr="004F0C19">
        <w:tc>
          <w:tcPr>
            <w:tcW w:w="0" w:type="auto"/>
          </w:tcPr>
          <w:p w:rsidR="004F0C19" w:rsidRPr="00FE6DAA" w:rsidRDefault="004F0C19" w:rsidP="004F0C19">
            <w:pPr>
              <w:rPr>
                <w:sz w:val="20"/>
                <w:szCs w:val="20"/>
              </w:rPr>
            </w:pPr>
            <w:r w:rsidRPr="00FE6DAA">
              <w:rPr>
                <w:sz w:val="20"/>
                <w:szCs w:val="20"/>
              </w:rPr>
              <w:t>East Midland Motor Services (Stagecoach)</w:t>
            </w:r>
          </w:p>
        </w:tc>
        <w:tc>
          <w:tcPr>
            <w:tcW w:w="0" w:type="auto"/>
          </w:tcPr>
          <w:p w:rsidR="004F0C19" w:rsidRPr="00FE6DAA" w:rsidRDefault="004F0C19" w:rsidP="004F0C19">
            <w:pPr>
              <w:rPr>
                <w:sz w:val="20"/>
                <w:szCs w:val="20"/>
              </w:rPr>
            </w:pPr>
            <w:r w:rsidRPr="00FE6DAA">
              <w:rPr>
                <w:sz w:val="20"/>
                <w:szCs w:val="20"/>
              </w:rPr>
              <w:t>SYPTE</w:t>
            </w:r>
          </w:p>
        </w:tc>
        <w:tc>
          <w:tcPr>
            <w:tcW w:w="1350" w:type="dxa"/>
          </w:tcPr>
          <w:p w:rsidR="004F0C19" w:rsidRPr="00FE6DAA" w:rsidRDefault="004F0C19" w:rsidP="004F0C19">
            <w:pPr>
              <w:jc w:val="right"/>
              <w:rPr>
                <w:sz w:val="20"/>
                <w:szCs w:val="20"/>
              </w:rPr>
            </w:pPr>
            <w:r w:rsidRPr="00FE6DAA">
              <w:rPr>
                <w:sz w:val="20"/>
                <w:szCs w:val="20"/>
              </w:rPr>
              <w:t>8.2</w:t>
            </w:r>
          </w:p>
        </w:tc>
        <w:tc>
          <w:tcPr>
            <w:tcW w:w="1222" w:type="dxa"/>
          </w:tcPr>
          <w:p w:rsidR="004F0C19" w:rsidRPr="00FE6DAA" w:rsidRDefault="004F0C19" w:rsidP="004F0C19">
            <w:pPr>
              <w:jc w:val="right"/>
              <w:rPr>
                <w:sz w:val="20"/>
                <w:szCs w:val="20"/>
              </w:rPr>
            </w:pPr>
            <w:r w:rsidRPr="00FE6DAA">
              <w:rPr>
                <w:sz w:val="20"/>
                <w:szCs w:val="20"/>
              </w:rPr>
              <w:t>10.3</w:t>
            </w:r>
          </w:p>
        </w:tc>
        <w:tc>
          <w:tcPr>
            <w:tcW w:w="0" w:type="auto"/>
          </w:tcPr>
          <w:p w:rsidR="004F0C19" w:rsidRPr="00FE6DAA" w:rsidRDefault="004F0C19" w:rsidP="004F0C19">
            <w:pPr>
              <w:jc w:val="right"/>
              <w:rPr>
                <w:sz w:val="20"/>
                <w:szCs w:val="20"/>
              </w:rPr>
            </w:pPr>
            <w:r w:rsidRPr="00FE6DAA">
              <w:rPr>
                <w:sz w:val="20"/>
                <w:szCs w:val="20"/>
              </w:rPr>
              <w:t>7.7</w:t>
            </w:r>
          </w:p>
        </w:tc>
        <w:tc>
          <w:tcPr>
            <w:tcW w:w="0" w:type="auto"/>
          </w:tcPr>
          <w:p w:rsidR="004F0C19" w:rsidRPr="00FE6DAA" w:rsidRDefault="004F0C19" w:rsidP="004F0C19">
            <w:pPr>
              <w:jc w:val="right"/>
              <w:rPr>
                <w:sz w:val="20"/>
                <w:szCs w:val="20"/>
              </w:rPr>
            </w:pPr>
            <w:r w:rsidRPr="00FE6DAA">
              <w:rPr>
                <w:sz w:val="20"/>
                <w:szCs w:val="20"/>
              </w:rPr>
              <w:t>0.8</w:t>
            </w:r>
          </w:p>
        </w:tc>
      </w:tr>
      <w:tr w:rsidR="004F0C19" w:rsidRPr="00FE6DAA" w:rsidTr="004F0C19">
        <w:tc>
          <w:tcPr>
            <w:tcW w:w="0" w:type="auto"/>
          </w:tcPr>
          <w:p w:rsidR="004F0C19" w:rsidRPr="00FE6DAA" w:rsidRDefault="004F0C19" w:rsidP="004F0C19">
            <w:pPr>
              <w:rPr>
                <w:sz w:val="20"/>
                <w:szCs w:val="20"/>
              </w:rPr>
            </w:pPr>
            <w:r w:rsidRPr="00FE6DAA">
              <w:rPr>
                <w:sz w:val="20"/>
                <w:szCs w:val="20"/>
              </w:rPr>
              <w:t>Arriva Midlands North</w:t>
            </w:r>
          </w:p>
        </w:tc>
        <w:tc>
          <w:tcPr>
            <w:tcW w:w="0" w:type="auto"/>
          </w:tcPr>
          <w:p w:rsidR="004F0C19" w:rsidRPr="00FE6DAA" w:rsidRDefault="004F0C19" w:rsidP="004F0C19">
            <w:pPr>
              <w:rPr>
                <w:sz w:val="20"/>
                <w:szCs w:val="20"/>
              </w:rPr>
            </w:pPr>
            <w:r w:rsidRPr="00FE6DAA">
              <w:rPr>
                <w:sz w:val="20"/>
                <w:szCs w:val="20"/>
              </w:rPr>
              <w:t>Centro</w:t>
            </w:r>
          </w:p>
        </w:tc>
        <w:tc>
          <w:tcPr>
            <w:tcW w:w="1350" w:type="dxa"/>
          </w:tcPr>
          <w:p w:rsidR="004F0C19" w:rsidRPr="00FE6DAA" w:rsidRDefault="004F0C19" w:rsidP="004F0C19">
            <w:pPr>
              <w:jc w:val="right"/>
              <w:rPr>
                <w:sz w:val="20"/>
                <w:szCs w:val="20"/>
              </w:rPr>
            </w:pPr>
            <w:r w:rsidRPr="00FE6DAA">
              <w:rPr>
                <w:sz w:val="20"/>
                <w:szCs w:val="20"/>
              </w:rPr>
              <w:t>7.7</w:t>
            </w:r>
          </w:p>
        </w:tc>
        <w:tc>
          <w:tcPr>
            <w:tcW w:w="1222" w:type="dxa"/>
          </w:tcPr>
          <w:p w:rsidR="004F0C19" w:rsidRPr="00FE6DAA" w:rsidRDefault="004F0C19" w:rsidP="004F0C19">
            <w:pPr>
              <w:jc w:val="right"/>
              <w:rPr>
                <w:sz w:val="20"/>
                <w:szCs w:val="20"/>
              </w:rPr>
            </w:pPr>
            <w:r w:rsidRPr="00FE6DAA">
              <w:rPr>
                <w:sz w:val="20"/>
                <w:szCs w:val="20"/>
              </w:rPr>
              <w:t>7.6</w:t>
            </w:r>
          </w:p>
        </w:tc>
        <w:tc>
          <w:tcPr>
            <w:tcW w:w="0" w:type="auto"/>
          </w:tcPr>
          <w:p w:rsidR="004F0C19" w:rsidRPr="00FE6DAA" w:rsidRDefault="004F0C19" w:rsidP="004F0C19">
            <w:pPr>
              <w:jc w:val="right"/>
              <w:rPr>
                <w:sz w:val="20"/>
                <w:szCs w:val="20"/>
              </w:rPr>
            </w:pPr>
            <w:r w:rsidRPr="00FE6DAA">
              <w:rPr>
                <w:sz w:val="20"/>
                <w:szCs w:val="20"/>
              </w:rPr>
              <w:t>2.6</w:t>
            </w:r>
          </w:p>
        </w:tc>
        <w:tc>
          <w:tcPr>
            <w:tcW w:w="0" w:type="auto"/>
          </w:tcPr>
          <w:p w:rsidR="004F0C19" w:rsidRPr="00FE6DAA" w:rsidRDefault="004F0C19" w:rsidP="004F0C19">
            <w:pPr>
              <w:jc w:val="right"/>
              <w:rPr>
                <w:sz w:val="20"/>
                <w:szCs w:val="20"/>
              </w:rPr>
            </w:pPr>
            <w:r w:rsidRPr="00FE6DAA">
              <w:rPr>
                <w:sz w:val="20"/>
                <w:szCs w:val="20"/>
              </w:rPr>
              <w:t>3.5</w:t>
            </w:r>
          </w:p>
        </w:tc>
      </w:tr>
      <w:tr w:rsidR="004F0C19" w:rsidRPr="00FE6DAA" w:rsidTr="004F0C19">
        <w:tc>
          <w:tcPr>
            <w:tcW w:w="0" w:type="auto"/>
          </w:tcPr>
          <w:p w:rsidR="004F0C19" w:rsidRPr="00FE6DAA" w:rsidRDefault="004F0C19" w:rsidP="004F0C19">
            <w:pPr>
              <w:rPr>
                <w:sz w:val="20"/>
                <w:szCs w:val="20"/>
              </w:rPr>
            </w:pPr>
            <w:r w:rsidRPr="00FE6DAA">
              <w:rPr>
                <w:sz w:val="20"/>
                <w:szCs w:val="20"/>
              </w:rPr>
              <w:t>Arriva Merseyside</w:t>
            </w:r>
          </w:p>
        </w:tc>
        <w:tc>
          <w:tcPr>
            <w:tcW w:w="0" w:type="auto"/>
          </w:tcPr>
          <w:p w:rsidR="004F0C19" w:rsidRPr="00FE6DAA" w:rsidRDefault="004F0C19" w:rsidP="004F0C19">
            <w:pPr>
              <w:rPr>
                <w:sz w:val="20"/>
                <w:szCs w:val="20"/>
              </w:rPr>
            </w:pPr>
            <w:proofErr w:type="spellStart"/>
            <w:r w:rsidRPr="00FE6DAA">
              <w:rPr>
                <w:sz w:val="20"/>
                <w:szCs w:val="20"/>
              </w:rPr>
              <w:t>Merseytravel</w:t>
            </w:r>
            <w:proofErr w:type="spellEnd"/>
          </w:p>
        </w:tc>
        <w:tc>
          <w:tcPr>
            <w:tcW w:w="1350" w:type="dxa"/>
          </w:tcPr>
          <w:p w:rsidR="004F0C19" w:rsidRPr="00FE6DAA" w:rsidRDefault="004F0C19" w:rsidP="004F0C19">
            <w:pPr>
              <w:jc w:val="right"/>
              <w:rPr>
                <w:sz w:val="20"/>
                <w:szCs w:val="20"/>
              </w:rPr>
            </w:pPr>
            <w:r w:rsidRPr="00FE6DAA">
              <w:rPr>
                <w:sz w:val="20"/>
                <w:szCs w:val="20"/>
              </w:rPr>
              <w:t>7.7</w:t>
            </w:r>
          </w:p>
        </w:tc>
        <w:tc>
          <w:tcPr>
            <w:tcW w:w="1222" w:type="dxa"/>
          </w:tcPr>
          <w:p w:rsidR="004F0C19" w:rsidRPr="00FE6DAA" w:rsidRDefault="004F0C19" w:rsidP="004F0C19">
            <w:pPr>
              <w:jc w:val="right"/>
              <w:rPr>
                <w:sz w:val="20"/>
                <w:szCs w:val="20"/>
              </w:rPr>
            </w:pPr>
            <w:r w:rsidRPr="00FE6DAA">
              <w:rPr>
                <w:sz w:val="20"/>
                <w:szCs w:val="20"/>
              </w:rPr>
              <w:t>9.2</w:t>
            </w:r>
          </w:p>
        </w:tc>
        <w:tc>
          <w:tcPr>
            <w:tcW w:w="0" w:type="auto"/>
          </w:tcPr>
          <w:p w:rsidR="004F0C19" w:rsidRPr="00FE6DAA" w:rsidRDefault="004F0C19" w:rsidP="004F0C19">
            <w:pPr>
              <w:jc w:val="right"/>
              <w:rPr>
                <w:sz w:val="20"/>
                <w:szCs w:val="20"/>
              </w:rPr>
            </w:pPr>
            <w:r w:rsidRPr="00FE6DAA">
              <w:rPr>
                <w:sz w:val="20"/>
                <w:szCs w:val="20"/>
              </w:rPr>
              <w:t>2.6</w:t>
            </w:r>
          </w:p>
        </w:tc>
        <w:tc>
          <w:tcPr>
            <w:tcW w:w="0" w:type="auto"/>
          </w:tcPr>
          <w:p w:rsidR="004F0C19" w:rsidRPr="00FE6DAA" w:rsidRDefault="004F0C19" w:rsidP="004F0C19">
            <w:pPr>
              <w:jc w:val="right"/>
              <w:rPr>
                <w:sz w:val="20"/>
                <w:szCs w:val="20"/>
              </w:rPr>
            </w:pPr>
            <w:r w:rsidRPr="00FE6DAA">
              <w:rPr>
                <w:sz w:val="20"/>
                <w:szCs w:val="20"/>
              </w:rPr>
              <w:t>4.2</w:t>
            </w:r>
          </w:p>
        </w:tc>
      </w:tr>
      <w:tr w:rsidR="004F0C19" w:rsidRPr="00FE6DAA" w:rsidTr="004F0C19">
        <w:tc>
          <w:tcPr>
            <w:tcW w:w="0" w:type="auto"/>
          </w:tcPr>
          <w:p w:rsidR="004F0C19" w:rsidRPr="00FE6DAA" w:rsidRDefault="004F0C19" w:rsidP="004F0C19">
            <w:pPr>
              <w:rPr>
                <w:sz w:val="20"/>
                <w:szCs w:val="20"/>
              </w:rPr>
            </w:pPr>
            <w:r w:rsidRPr="00FE6DAA">
              <w:rPr>
                <w:sz w:val="20"/>
                <w:szCs w:val="20"/>
              </w:rPr>
              <w:t>Arriva West Yorkshire</w:t>
            </w:r>
          </w:p>
        </w:tc>
        <w:tc>
          <w:tcPr>
            <w:tcW w:w="0" w:type="auto"/>
          </w:tcPr>
          <w:p w:rsidR="004F0C19" w:rsidRPr="00FE6DAA" w:rsidRDefault="004F0C19" w:rsidP="004F0C19">
            <w:pPr>
              <w:rPr>
                <w:sz w:val="20"/>
                <w:szCs w:val="20"/>
              </w:rPr>
            </w:pPr>
            <w:r w:rsidRPr="00FE6DAA">
              <w:rPr>
                <w:sz w:val="20"/>
                <w:szCs w:val="20"/>
              </w:rPr>
              <w:t>WYCA</w:t>
            </w:r>
          </w:p>
        </w:tc>
        <w:tc>
          <w:tcPr>
            <w:tcW w:w="1350" w:type="dxa"/>
          </w:tcPr>
          <w:p w:rsidR="004F0C19" w:rsidRPr="00FE6DAA" w:rsidRDefault="004F0C19" w:rsidP="004F0C19">
            <w:pPr>
              <w:jc w:val="right"/>
              <w:rPr>
                <w:sz w:val="20"/>
                <w:szCs w:val="20"/>
              </w:rPr>
            </w:pPr>
            <w:r w:rsidRPr="00FE6DAA">
              <w:rPr>
                <w:sz w:val="20"/>
                <w:szCs w:val="20"/>
              </w:rPr>
              <w:t>6.1</w:t>
            </w:r>
          </w:p>
        </w:tc>
        <w:tc>
          <w:tcPr>
            <w:tcW w:w="1222" w:type="dxa"/>
          </w:tcPr>
          <w:p w:rsidR="004F0C19" w:rsidRPr="00FE6DAA" w:rsidRDefault="004F0C19" w:rsidP="004F0C19">
            <w:pPr>
              <w:jc w:val="right"/>
              <w:rPr>
                <w:sz w:val="20"/>
                <w:szCs w:val="20"/>
              </w:rPr>
            </w:pPr>
            <w:r w:rsidRPr="00FE6DAA">
              <w:rPr>
                <w:sz w:val="20"/>
                <w:szCs w:val="20"/>
              </w:rPr>
              <w:t>5.9</w:t>
            </w:r>
          </w:p>
        </w:tc>
        <w:tc>
          <w:tcPr>
            <w:tcW w:w="0" w:type="auto"/>
          </w:tcPr>
          <w:p w:rsidR="004F0C19" w:rsidRPr="00FE6DAA" w:rsidRDefault="004F0C19" w:rsidP="004F0C19">
            <w:pPr>
              <w:jc w:val="right"/>
              <w:rPr>
                <w:sz w:val="20"/>
                <w:szCs w:val="20"/>
              </w:rPr>
            </w:pPr>
            <w:r w:rsidRPr="00FE6DAA">
              <w:rPr>
                <w:sz w:val="20"/>
                <w:szCs w:val="20"/>
              </w:rPr>
              <w:t>4</w:t>
            </w:r>
          </w:p>
        </w:tc>
        <w:tc>
          <w:tcPr>
            <w:tcW w:w="0" w:type="auto"/>
          </w:tcPr>
          <w:p w:rsidR="004F0C19" w:rsidRPr="00FE6DAA" w:rsidRDefault="004F0C19" w:rsidP="004F0C19">
            <w:pPr>
              <w:jc w:val="right"/>
              <w:rPr>
                <w:sz w:val="20"/>
                <w:szCs w:val="20"/>
              </w:rPr>
            </w:pPr>
            <w:r w:rsidRPr="00FE6DAA">
              <w:rPr>
                <w:sz w:val="20"/>
                <w:szCs w:val="20"/>
              </w:rPr>
              <w:t>1</w:t>
            </w:r>
          </w:p>
        </w:tc>
      </w:tr>
      <w:tr w:rsidR="004F0C19" w:rsidRPr="00FE6DAA" w:rsidTr="004F0C19">
        <w:tc>
          <w:tcPr>
            <w:tcW w:w="0" w:type="auto"/>
          </w:tcPr>
          <w:p w:rsidR="004F0C19" w:rsidRPr="00FE6DAA" w:rsidRDefault="004F0C19" w:rsidP="004F0C19">
            <w:pPr>
              <w:rPr>
                <w:sz w:val="20"/>
                <w:szCs w:val="20"/>
              </w:rPr>
            </w:pPr>
            <w:r w:rsidRPr="00FE6DAA">
              <w:rPr>
                <w:sz w:val="20"/>
                <w:szCs w:val="20"/>
              </w:rPr>
              <w:t>Go North East</w:t>
            </w:r>
          </w:p>
        </w:tc>
        <w:tc>
          <w:tcPr>
            <w:tcW w:w="0" w:type="auto"/>
          </w:tcPr>
          <w:p w:rsidR="004F0C19" w:rsidRPr="00FE6DAA" w:rsidRDefault="004F0C19" w:rsidP="004F0C19">
            <w:pPr>
              <w:rPr>
                <w:sz w:val="20"/>
                <w:szCs w:val="20"/>
              </w:rPr>
            </w:pPr>
            <w:r w:rsidRPr="00FE6DAA">
              <w:rPr>
                <w:sz w:val="20"/>
                <w:szCs w:val="20"/>
              </w:rPr>
              <w:t>NEXUS</w:t>
            </w:r>
          </w:p>
        </w:tc>
        <w:tc>
          <w:tcPr>
            <w:tcW w:w="1350" w:type="dxa"/>
          </w:tcPr>
          <w:p w:rsidR="004F0C19" w:rsidRPr="00FE6DAA" w:rsidRDefault="004F0C19" w:rsidP="004F0C19">
            <w:pPr>
              <w:jc w:val="right"/>
              <w:rPr>
                <w:sz w:val="20"/>
                <w:szCs w:val="20"/>
              </w:rPr>
            </w:pPr>
            <w:r w:rsidRPr="00FE6DAA">
              <w:rPr>
                <w:sz w:val="20"/>
                <w:szCs w:val="20"/>
              </w:rPr>
              <w:t>5.6</w:t>
            </w:r>
          </w:p>
        </w:tc>
        <w:tc>
          <w:tcPr>
            <w:tcW w:w="1222" w:type="dxa"/>
          </w:tcPr>
          <w:p w:rsidR="004F0C19" w:rsidRPr="00FE6DAA" w:rsidRDefault="004F0C19" w:rsidP="004F0C19">
            <w:pPr>
              <w:jc w:val="right"/>
              <w:rPr>
                <w:sz w:val="20"/>
                <w:szCs w:val="20"/>
              </w:rPr>
            </w:pPr>
            <w:r w:rsidRPr="00FE6DAA">
              <w:rPr>
                <w:sz w:val="20"/>
                <w:szCs w:val="20"/>
              </w:rPr>
              <w:t>6.3</w:t>
            </w:r>
          </w:p>
        </w:tc>
        <w:tc>
          <w:tcPr>
            <w:tcW w:w="0" w:type="auto"/>
          </w:tcPr>
          <w:p w:rsidR="004F0C19" w:rsidRPr="00FE6DAA" w:rsidRDefault="004F0C19" w:rsidP="004F0C19">
            <w:pPr>
              <w:jc w:val="right"/>
              <w:rPr>
                <w:sz w:val="20"/>
                <w:szCs w:val="20"/>
              </w:rPr>
            </w:pPr>
            <w:r w:rsidRPr="00FE6DAA">
              <w:rPr>
                <w:sz w:val="20"/>
                <w:szCs w:val="20"/>
              </w:rPr>
              <w:t>5.6</w:t>
            </w:r>
          </w:p>
        </w:tc>
        <w:tc>
          <w:tcPr>
            <w:tcW w:w="0" w:type="auto"/>
          </w:tcPr>
          <w:p w:rsidR="004F0C19" w:rsidRPr="00FE6DAA" w:rsidRDefault="004F0C19" w:rsidP="004F0C19">
            <w:pPr>
              <w:jc w:val="right"/>
              <w:rPr>
                <w:sz w:val="20"/>
                <w:szCs w:val="20"/>
              </w:rPr>
            </w:pPr>
            <w:r w:rsidRPr="00FE6DAA">
              <w:rPr>
                <w:sz w:val="20"/>
                <w:szCs w:val="20"/>
              </w:rPr>
              <w:t>-0.8</w:t>
            </w:r>
          </w:p>
        </w:tc>
      </w:tr>
    </w:tbl>
    <w:p w:rsidR="004F0C19" w:rsidRDefault="004F0C19" w:rsidP="004F0C19">
      <w:pPr>
        <w:rPr>
          <w:b/>
          <w:sz w:val="28"/>
        </w:rPr>
      </w:pPr>
    </w:p>
    <w:p w:rsidR="004F0C19" w:rsidRDefault="004F0C19" w:rsidP="004F0C19">
      <w:pPr>
        <w:rPr>
          <w:b/>
          <w:sz w:val="28"/>
        </w:rPr>
      </w:pPr>
    </w:p>
    <w:p w:rsidR="00900C27" w:rsidRDefault="00900C27" w:rsidP="004F0C19">
      <w:pPr>
        <w:pStyle w:val="Heading1"/>
        <w:numPr>
          <w:ilvl w:val="0"/>
          <w:numId w:val="0"/>
        </w:numPr>
      </w:pPr>
    </w:p>
    <w:sectPr w:rsidR="00900C27">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C19" w:rsidRDefault="004F0C19" w:rsidP="00A3310C">
      <w:pPr>
        <w:pStyle w:val="BaseStyle"/>
      </w:pPr>
      <w:r>
        <w:separator/>
      </w:r>
    </w:p>
  </w:endnote>
  <w:endnote w:type="continuationSeparator" w:id="0">
    <w:p w:rsidR="004F0C19" w:rsidRDefault="004F0C19" w:rsidP="00A3310C">
      <w:pPr>
        <w:pStyle w:val="BaseSty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rsidP="00E97CDA">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4F0C19">
      <w:tc>
        <w:tcPr>
          <w:tcW w:w="9043" w:type="dxa"/>
        </w:tcPr>
        <w:p w:rsidR="004F0C19" w:rsidRDefault="004F0C19" w:rsidP="00263870">
          <w:pPr>
            <w:pStyle w:val="DocFooter"/>
          </w:pPr>
          <w:fldSimple w:instr=" STYLEREF  ~Date ">
            <w:r w:rsidR="004244FB">
              <w:rPr>
                <w:noProof/>
              </w:rPr>
              <w:t>October 2014</w:t>
            </w:r>
          </w:fldSimple>
        </w:p>
      </w:tc>
      <w:tc>
        <w:tcPr>
          <w:tcW w:w="448" w:type="dxa"/>
        </w:tcPr>
        <w:p w:rsidR="004F0C19" w:rsidRDefault="004F0C19" w:rsidP="00F56B84">
          <w:pPr>
            <w:pStyle w:val="PageNumber"/>
            <w:jc w:val="right"/>
          </w:pPr>
        </w:p>
      </w:tc>
    </w:tr>
  </w:tbl>
  <w:p w:rsidR="004F0C19" w:rsidRDefault="002F48D8">
    <w:r>
      <w:rPr>
        <w:noProof/>
        <w:lang w:eastAsia="en-GB"/>
      </w:rPr>
      <mc:AlternateContent>
        <mc:Choice Requires="wps">
          <w:drawing>
            <wp:anchor distT="0" distB="0" distL="114300" distR="114300" simplePos="0" relativeHeight="251656704" behindDoc="0" locked="1" layoutInCell="0" allowOverlap="1">
              <wp:simplePos x="0" y="0"/>
              <wp:positionH relativeFrom="page">
                <wp:posOffset>1080135</wp:posOffset>
              </wp:positionH>
              <wp:positionV relativeFrom="page">
                <wp:posOffset>10271125</wp:posOffset>
              </wp:positionV>
              <wp:extent cx="5760085" cy="0"/>
              <wp:effectExtent l="13335" t="12700" r="17780" b="1587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" o:allowincell="f" strokecolor="#003473" strokeweight="1.5pt">
              <w10:wrap anchorx="page" anchory="page"/>
              <w10:anchorlo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pPr>
      <w:pStyle w:val="Footer"/>
      <w:jc w:val="right"/>
    </w:pPr>
    <w:r>
      <w:fldChar w:fldCharType="begin"/>
    </w:r>
    <w:r>
      <w:instrText xml:space="preserve"> PAGE   \* MERGEFORMAT </w:instrText>
    </w:r>
    <w:r>
      <w:fldChar w:fldCharType="separate"/>
    </w:r>
    <w:r w:rsidR="004244FB">
      <w:rPr>
        <w:noProof/>
      </w:rPr>
      <w:t>17</w:t>
    </w:r>
    <w:r>
      <w:rPr>
        <w:noProof/>
      </w:rPr>
      <w:fldChar w:fldCharType="end"/>
    </w:r>
  </w:p>
  <w:p w:rsidR="004F0C19" w:rsidRDefault="004F0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C19" w:rsidRDefault="004F0C19" w:rsidP="00A3310C">
      <w:pPr>
        <w:pStyle w:val="BaseStyle"/>
      </w:pPr>
      <w:r>
        <w:separator/>
      </w:r>
    </w:p>
  </w:footnote>
  <w:footnote w:type="continuationSeparator" w:id="0">
    <w:p w:rsidR="004F0C19" w:rsidRDefault="004F0C19" w:rsidP="00A3310C">
      <w:pPr>
        <w:pStyle w:val="BaseStyle"/>
      </w:pPr>
      <w:r>
        <w:continuationSeparator/>
      </w:r>
    </w:p>
  </w:footnote>
  <w:footnote w:id="1">
    <w:p w:rsidR="004F0C19" w:rsidRDefault="004F0C19" w:rsidP="004F0C19">
      <w:pPr>
        <w:pStyle w:val="FootnoteText"/>
      </w:pPr>
      <w:r>
        <w:rPr>
          <w:rStyle w:val="FootnoteReference"/>
        </w:rPr>
        <w:footnoteRef/>
      </w:r>
      <w:r>
        <w:t xml:space="preserve"> Where the 2013 figures are not available it combines 2008-2012 figures.</w:t>
      </w:r>
    </w:p>
  </w:footnote>
  <w:footnote w:id="2">
    <w:p w:rsidR="004F0C19" w:rsidRDefault="004F0C19" w:rsidP="004F0C19">
      <w:pPr>
        <w:pStyle w:val="FootnoteText"/>
      </w:pPr>
      <w:r>
        <w:rPr>
          <w:rStyle w:val="FootnoteReference"/>
        </w:rPr>
        <w:footnoteRef/>
      </w:r>
      <w:r>
        <w:t xml:space="preserve"> A number of companies appeared to receive significant sums of other money and interests, making the pre and </w:t>
      </w:r>
      <w:proofErr w:type="spellStart"/>
      <w:r>
        <w:t>post tax</w:t>
      </w:r>
      <w:proofErr w:type="spellEnd"/>
      <w:r>
        <w:t xml:space="preserve"> profit levels higher than the operating profit. This has been removed to allow a focus purely on operations, but it must be recognised that tax and any interest owing is still to be paid on top of the figures that are quoted.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2F48D8" w:rsidP="00E97CDA">
    <w:pPr>
      <w:ind w:left="-851"/>
    </w:pPr>
    <w:r>
      <w:rPr>
        <w:noProof/>
        <w:lang w:eastAsia="en-GB"/>
      </w:rPr>
      <w:drawing>
        <wp:anchor distT="0" distB="0" distL="114300" distR="114300" simplePos="0" relativeHeight="251657728" behindDoc="0" locked="1" layoutInCell="1" allowOverlap="1">
          <wp:simplePos x="0" y="0"/>
          <wp:positionH relativeFrom="page">
            <wp:posOffset>638175</wp:posOffset>
          </wp:positionH>
          <wp:positionV relativeFrom="page">
            <wp:posOffset>486410</wp:posOffset>
          </wp:positionV>
          <wp:extent cx="3789680" cy="1910080"/>
          <wp:effectExtent l="0" t="0" r="127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3789680" cy="19100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Default="004F0C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4F0C19" w:rsidRPr="00BB4D6B">
      <w:trPr>
        <w:trHeight w:val="567"/>
      </w:trPr>
      <w:tc>
        <w:tcPr>
          <w:tcW w:w="8505" w:type="dxa"/>
          <w:vAlign w:val="bottom"/>
        </w:tcPr>
        <w:p w:rsidR="004F0C19" w:rsidRPr="00BB4D6B" w:rsidRDefault="004F0C19" w:rsidP="00BB4D6B">
          <w:pPr>
            <w:pStyle w:val="DocTitleRef"/>
          </w:pPr>
          <w:fldSimple w:instr=" STYLEREF  ~DocTitle ">
            <w:r w:rsidR="004244FB">
              <w:rPr>
                <w:noProof/>
              </w:rPr>
              <w:t>PTE area bus operator profitability analysis’</w:t>
            </w:r>
          </w:fldSimple>
        </w:p>
      </w:tc>
    </w:tr>
    <w:tr w:rsidR="004F0C19" w:rsidRPr="00BB4D6B">
      <w:tc>
        <w:tcPr>
          <w:tcW w:w="8505" w:type="dxa"/>
        </w:tcPr>
        <w:p w:rsidR="004F0C19" w:rsidRPr="00BB4D6B" w:rsidRDefault="004F0C19" w:rsidP="00BB4D6B">
          <w:pPr>
            <w:pStyle w:val="ConfidentialRef"/>
            <w:framePr w:hSpace="0" w:wrap="auto" w:vAnchor="margin" w:hAnchor="text" w:xAlign="left" w:yAlign="inline"/>
            <w:suppressOverlap w:val="0"/>
          </w:pPr>
          <w:fldSimple w:instr=" STYLEREF  ~Confidential ">
            <w:r w:rsidR="004244FB">
              <w:rPr>
                <w:noProof/>
              </w:rPr>
              <w:t>confidential</w:t>
            </w:r>
          </w:fldSimple>
        </w:p>
      </w:tc>
    </w:tr>
  </w:tbl>
  <w:p w:rsidR="004F0C19" w:rsidRPr="00E42AE0" w:rsidRDefault="002F48D8" w:rsidP="00E97CDA">
    <w:pPr>
      <w:ind w:left="-851" w:right="-1"/>
    </w:pPr>
    <w:r>
      <w:rPr>
        <w:noProof/>
        <w:lang w:eastAsia="en-GB"/>
      </w:rPr>
      <mc:AlternateContent>
        <mc:Choice Requires="wps">
          <w:drawing>
            <wp:anchor distT="0" distB="0" distL="114300" distR="114300" simplePos="0" relativeHeight="251655680" behindDoc="0" locked="1" layoutInCell="0" allowOverlap="1">
              <wp:simplePos x="0" y="0"/>
              <wp:positionH relativeFrom="page">
                <wp:posOffset>1080135</wp:posOffset>
              </wp:positionH>
              <wp:positionV relativeFrom="page">
                <wp:posOffset>770255</wp:posOffset>
              </wp:positionV>
              <wp:extent cx="5760085" cy="0"/>
              <wp:effectExtent l="13335" t="17780" r="17780" b="1079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BFQ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" o:allowincell="f" strokecolor="#003473" strokeweight="1.5pt">
              <w10:wrap anchorx="page" anchory="page"/>
              <w10:anchorlock/>
            </v:line>
          </w:pict>
        </mc:Fallback>
      </mc:AlternateContent>
    </w:r>
    <w:r>
      <w:rPr>
        <w:noProof/>
        <w:lang w:eastAsia="en-GB"/>
      </w:rPr>
      <w:drawing>
        <wp:anchor distT="0" distB="0" distL="114300" distR="114300" simplePos="0" relativeHeight="251654656" behindDoc="0" locked="1" layoutInCell="0" allowOverlap="1">
          <wp:simplePos x="0" y="0"/>
          <wp:positionH relativeFrom="page">
            <wp:posOffset>323850</wp:posOffset>
          </wp:positionH>
          <wp:positionV relativeFrom="page">
            <wp:posOffset>288290</wp:posOffset>
          </wp:positionV>
          <wp:extent cx="1090930" cy="549910"/>
          <wp:effectExtent l="0" t="0" r="0" b="2540"/>
          <wp:wrapNone/>
          <wp:docPr id="8"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1090930" cy="549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C19" w:rsidRPr="00D90A06" w:rsidRDefault="004F0C19">
    <w:pPr>
      <w:pStyle w:val="Header"/>
      <w:rPr>
        <w:b/>
      </w:rPr>
    </w:pPr>
    <w:r>
      <w:tab/>
    </w:r>
    <w:r>
      <w:tab/>
    </w:r>
    <w:r w:rsidRPr="00D90A06">
      <w:rPr>
        <w:b/>
      </w:rPr>
      <w:t>AGENDA ITEM NO. 5.1 ANNEX THREE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7F72BC20"/>
    <w:lvl w:ilvl="0">
      <w:start w:val="1"/>
      <w:numFmt w:val="decimal"/>
      <w:pStyle w:val="NumBullet1"/>
      <w:lvlText w:val="%1."/>
      <w:lvlJc w:val="left"/>
      <w:pPr>
        <w:tabs>
          <w:tab w:val="num" w:pos="284"/>
        </w:tabs>
        <w:ind w:left="284" w:hanging="284"/>
      </w:pPr>
      <w:rPr>
        <w:rFonts w:hint="default"/>
        <w:color w:val="003473"/>
      </w:rPr>
    </w:lvl>
    <w:lvl w:ilvl="1">
      <w:start w:val="1"/>
      <w:numFmt w:val="lowerLetter"/>
      <w:pStyle w:val="NumBullet2"/>
      <w:lvlText w:val="%2."/>
      <w:lvlJc w:val="left"/>
      <w:pPr>
        <w:tabs>
          <w:tab w:val="num" w:pos="567"/>
        </w:tabs>
        <w:ind w:left="567" w:hanging="283"/>
      </w:pPr>
      <w:rPr>
        <w:rFonts w:hint="default"/>
        <w:color w:val="003473"/>
      </w:rPr>
    </w:lvl>
    <w:lvl w:ilvl="2">
      <w:start w:val="1"/>
      <w:numFmt w:val="lowerRoman"/>
      <w:pStyle w:val="NumBullet3"/>
      <w:lvlText w:val="%3."/>
      <w:lvlJc w:val="left"/>
      <w:pPr>
        <w:tabs>
          <w:tab w:val="num" w:pos="851"/>
        </w:tabs>
        <w:ind w:left="851" w:hanging="284"/>
      </w:pPr>
      <w:rPr>
        <w:rFonts w:hint="default"/>
        <w:color w:val="003473"/>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295A00"/>
    <w:multiLevelType w:val="multilevel"/>
    <w:tmpl w:val="FD4A9A00"/>
    <w:lvl w:ilvl="0">
      <w:start w:val="1"/>
      <w:numFmt w:val="bullet"/>
      <w:pStyle w:val="Bullet1"/>
      <w:lvlText w:val=""/>
      <w:lvlJc w:val="left"/>
      <w:pPr>
        <w:tabs>
          <w:tab w:val="num" w:pos="284"/>
        </w:tabs>
        <w:ind w:left="284" w:hanging="284"/>
      </w:pPr>
      <w:rPr>
        <w:rFonts w:ascii="Wingdings" w:hAnsi="Wingdings" w:hint="default"/>
        <w:color w:val="003473"/>
      </w:rPr>
    </w:lvl>
    <w:lvl w:ilvl="1">
      <w:start w:val="1"/>
      <w:numFmt w:val="bullet"/>
      <w:pStyle w:val="Bullet2"/>
      <w:lvlText w:val="-"/>
      <w:lvlJc w:val="left"/>
      <w:pPr>
        <w:tabs>
          <w:tab w:val="num" w:pos="567"/>
        </w:tabs>
        <w:ind w:left="567" w:hanging="283"/>
      </w:pPr>
      <w:rPr>
        <w:rFonts w:ascii="Courier New" w:hAnsi="Courier New" w:hint="default"/>
        <w:color w:val="003473"/>
      </w:rPr>
    </w:lvl>
    <w:lvl w:ilvl="2">
      <w:start w:val="1"/>
      <w:numFmt w:val="bullet"/>
      <w:pStyle w:val="Bullet3"/>
      <w:lvlText w:val=""/>
      <w:lvlJc w:val="left"/>
      <w:pPr>
        <w:tabs>
          <w:tab w:val="num" w:pos="851"/>
        </w:tabs>
        <w:ind w:left="851" w:hanging="284"/>
      </w:pPr>
      <w:rPr>
        <w:rFonts w:ascii="Wingdings" w:hAnsi="Wingdings" w:hint="default"/>
        <w:color w:val="003473"/>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6">
    <w:nsid w:val="490760B6"/>
    <w:multiLevelType w:val="hybridMultilevel"/>
    <w:tmpl w:val="C7440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E67791"/>
    <w:multiLevelType w:val="hybridMultilevel"/>
    <w:tmpl w:val="5E3EEB4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486492"/>
    <w:multiLevelType w:val="hybridMultilevel"/>
    <w:tmpl w:val="1BCA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BA1563"/>
    <w:multiLevelType w:val="hybridMultilevel"/>
    <w:tmpl w:val="57DC024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11211F0"/>
    <w:multiLevelType w:val="multilevel"/>
    <w:tmpl w:val="DD0CBF5E"/>
    <w:lvl w:ilvl="0">
      <w:start w:val="1"/>
      <w:numFmt w:val="bullet"/>
      <w:lvlText w:val=""/>
      <w:lvlJc w:val="left"/>
      <w:pPr>
        <w:tabs>
          <w:tab w:val="num" w:pos="-34"/>
        </w:tabs>
        <w:ind w:left="360" w:hanging="360"/>
      </w:pPr>
      <w:rPr>
        <w:rFonts w:ascii="Wingdings" w:hAnsi="Wingdings" w:hint="default"/>
        <w:color w:val="F7931E"/>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nsid w:val="73D6312E"/>
    <w:multiLevelType w:val="hybridMultilevel"/>
    <w:tmpl w:val="DA2C614A"/>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FFB15CC"/>
    <w:multiLevelType w:val="multilevel"/>
    <w:tmpl w:val="25D0270E"/>
    <w:lvl w:ilvl="0">
      <w:start w:val="1"/>
      <w:numFmt w:val="decimal"/>
      <w:pStyle w:val="Heading1"/>
      <w:isLgl/>
      <w:lvlText w:val="%1."/>
      <w:lvlJc w:val="left"/>
      <w:pPr>
        <w:tabs>
          <w:tab w:val="num" w:pos="0"/>
        </w:tabs>
        <w:ind w:left="0" w:hanging="567"/>
      </w:pPr>
      <w:rPr>
        <w:rFonts w:ascii="Arial Bold" w:hAnsi="Arial Bold" w:hint="default"/>
        <w:b/>
        <w:i w:val="0"/>
        <w:color w:val="F7931E"/>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5"/>
  </w:num>
  <w:num w:numId="2">
    <w:abstractNumId w:val="10"/>
  </w:num>
  <w:num w:numId="3">
    <w:abstractNumId w:val="11"/>
  </w:num>
  <w:num w:numId="4">
    <w:abstractNumId w:val="14"/>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22"/>
  </w:num>
  <w:num w:numId="20">
    <w:abstractNumId w:val="20"/>
  </w:num>
  <w:num w:numId="21">
    <w:abstractNumId w:val="16"/>
  </w:num>
  <w:num w:numId="22">
    <w:abstractNumId w:val="18"/>
  </w:num>
  <w:num w:numId="23">
    <w:abstractNumId w:val="17"/>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19"/>
    <w:rsid w:val="000006CF"/>
    <w:rsid w:val="00012BC1"/>
    <w:rsid w:val="00025EA7"/>
    <w:rsid w:val="00072701"/>
    <w:rsid w:val="000954E8"/>
    <w:rsid w:val="000B4571"/>
    <w:rsid w:val="000E7BA3"/>
    <w:rsid w:val="000F1049"/>
    <w:rsid w:val="00114363"/>
    <w:rsid w:val="00125A37"/>
    <w:rsid w:val="00126573"/>
    <w:rsid w:val="00160A99"/>
    <w:rsid w:val="00162820"/>
    <w:rsid w:val="00176B2B"/>
    <w:rsid w:val="001A7829"/>
    <w:rsid w:val="00214ADD"/>
    <w:rsid w:val="00227BFA"/>
    <w:rsid w:val="00241866"/>
    <w:rsid w:val="00263870"/>
    <w:rsid w:val="002728D9"/>
    <w:rsid w:val="00291AAC"/>
    <w:rsid w:val="00296F8F"/>
    <w:rsid w:val="002B35D3"/>
    <w:rsid w:val="002B5920"/>
    <w:rsid w:val="002D137C"/>
    <w:rsid w:val="002F48D8"/>
    <w:rsid w:val="002F6817"/>
    <w:rsid w:val="00364948"/>
    <w:rsid w:val="00371F71"/>
    <w:rsid w:val="00395783"/>
    <w:rsid w:val="003A2CCD"/>
    <w:rsid w:val="003B334A"/>
    <w:rsid w:val="00410107"/>
    <w:rsid w:val="004244FB"/>
    <w:rsid w:val="004265D1"/>
    <w:rsid w:val="00441BE6"/>
    <w:rsid w:val="00447A9F"/>
    <w:rsid w:val="0045660E"/>
    <w:rsid w:val="00462FA5"/>
    <w:rsid w:val="0049622F"/>
    <w:rsid w:val="004B67BF"/>
    <w:rsid w:val="004C6969"/>
    <w:rsid w:val="004F0C19"/>
    <w:rsid w:val="00530713"/>
    <w:rsid w:val="0054138A"/>
    <w:rsid w:val="00546313"/>
    <w:rsid w:val="005A4EBA"/>
    <w:rsid w:val="005B654E"/>
    <w:rsid w:val="005C543A"/>
    <w:rsid w:val="005C7AC5"/>
    <w:rsid w:val="0061172E"/>
    <w:rsid w:val="00623414"/>
    <w:rsid w:val="006B10F4"/>
    <w:rsid w:val="006D2DFC"/>
    <w:rsid w:val="006F1075"/>
    <w:rsid w:val="00705A48"/>
    <w:rsid w:val="00715694"/>
    <w:rsid w:val="00735027"/>
    <w:rsid w:val="007A0BD4"/>
    <w:rsid w:val="007C0200"/>
    <w:rsid w:val="007C60D4"/>
    <w:rsid w:val="007D62F4"/>
    <w:rsid w:val="007F31E9"/>
    <w:rsid w:val="00850A48"/>
    <w:rsid w:val="008607CB"/>
    <w:rsid w:val="008B0BA1"/>
    <w:rsid w:val="008C5565"/>
    <w:rsid w:val="008D6D00"/>
    <w:rsid w:val="008E0FF0"/>
    <w:rsid w:val="008E29E6"/>
    <w:rsid w:val="008F1163"/>
    <w:rsid w:val="00900C27"/>
    <w:rsid w:val="009E65E1"/>
    <w:rsid w:val="00A010EC"/>
    <w:rsid w:val="00A15D14"/>
    <w:rsid w:val="00A230D2"/>
    <w:rsid w:val="00A3310C"/>
    <w:rsid w:val="00A341D5"/>
    <w:rsid w:val="00A5449C"/>
    <w:rsid w:val="00AA7DD9"/>
    <w:rsid w:val="00AB4E56"/>
    <w:rsid w:val="00B146F4"/>
    <w:rsid w:val="00B16749"/>
    <w:rsid w:val="00B55133"/>
    <w:rsid w:val="00B71FD8"/>
    <w:rsid w:val="00B76D75"/>
    <w:rsid w:val="00B91241"/>
    <w:rsid w:val="00BB3FD6"/>
    <w:rsid w:val="00BB4D6B"/>
    <w:rsid w:val="00BD7A5D"/>
    <w:rsid w:val="00C3127A"/>
    <w:rsid w:val="00C418DF"/>
    <w:rsid w:val="00C540CF"/>
    <w:rsid w:val="00C564A4"/>
    <w:rsid w:val="00C60534"/>
    <w:rsid w:val="00C620EA"/>
    <w:rsid w:val="00CE6A23"/>
    <w:rsid w:val="00CF21E7"/>
    <w:rsid w:val="00CF4276"/>
    <w:rsid w:val="00D0692F"/>
    <w:rsid w:val="00D423A1"/>
    <w:rsid w:val="00D92E6D"/>
    <w:rsid w:val="00DC426B"/>
    <w:rsid w:val="00E023D8"/>
    <w:rsid w:val="00E511A5"/>
    <w:rsid w:val="00E6676F"/>
    <w:rsid w:val="00E815E0"/>
    <w:rsid w:val="00E97CDA"/>
    <w:rsid w:val="00EB53D5"/>
    <w:rsid w:val="00EC0D6E"/>
    <w:rsid w:val="00EF65BA"/>
    <w:rsid w:val="00F17463"/>
    <w:rsid w:val="00F56B84"/>
    <w:rsid w:val="00F6246F"/>
    <w:rsid w:val="00F808FE"/>
    <w:rsid w:val="00F92B00"/>
    <w:rsid w:val="00F92C50"/>
    <w:rsid w:val="00FB656B"/>
    <w:rsid w:val="00FC4211"/>
    <w:rsid w:val="00FE1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NoNumber"/>
    <w:qFormat/>
    <w:rsid w:val="00447A9F"/>
    <w:pPr>
      <w:spacing w:before="120" w:line="276" w:lineRule="auto"/>
    </w:pPr>
    <w:rPr>
      <w:rFonts w:ascii="Arial" w:eastAsia="Calibri" w:hAnsi="Arial"/>
      <w:sz w:val="22"/>
      <w:szCs w:val="22"/>
      <w:lang w:eastAsia="en-US"/>
    </w:rPr>
  </w:style>
  <w:style w:type="paragraph" w:styleId="Heading1">
    <w:name w:val="heading 1"/>
    <w:aliases w:val="~SectionHeading"/>
    <w:basedOn w:val="Normal"/>
    <w:next w:val="BodyText"/>
    <w:qFormat/>
    <w:rsid w:val="00FB656B"/>
    <w:pPr>
      <w:keepNext/>
      <w:numPr>
        <w:numId w:val="5"/>
      </w:numPr>
      <w:spacing w:after="120"/>
      <w:outlineLvl w:val="0"/>
    </w:pPr>
    <w:rPr>
      <w:rFonts w:cs="Arial"/>
      <w:b/>
      <w:color w:val="003473"/>
      <w:sz w:val="28"/>
    </w:rPr>
  </w:style>
  <w:style w:type="paragraph" w:styleId="Heading2">
    <w:name w:val="heading 2"/>
    <w:aliases w:val="~SubHeading"/>
    <w:basedOn w:val="Normal"/>
    <w:next w:val="Normal"/>
    <w:qFormat/>
    <w:rsid w:val="00447A9F"/>
    <w:pPr>
      <w:keepNext/>
      <w:spacing w:before="240"/>
      <w:outlineLvl w:val="1"/>
    </w:pPr>
    <w:rPr>
      <w:rFonts w:cs="Arial"/>
      <w:b/>
      <w:color w:val="003473"/>
      <w:szCs w:val="24"/>
    </w:rPr>
  </w:style>
  <w:style w:type="paragraph" w:styleId="Heading3">
    <w:name w:val="heading 3"/>
    <w:aliases w:val="~MinorSubHeading"/>
    <w:basedOn w:val="Normal"/>
    <w:next w:val="Normal"/>
    <w:qFormat/>
    <w:rsid w:val="00F56B84"/>
    <w:pPr>
      <w:keepNext/>
      <w:spacing w:before="240"/>
      <w:outlineLvl w:val="2"/>
    </w:pPr>
    <w:rPr>
      <w:rFonts w:cs="Arial"/>
      <w:b/>
      <w:i/>
      <w:color w:val="003473"/>
      <w:szCs w:val="24"/>
    </w:rPr>
  </w:style>
  <w:style w:type="paragraph" w:styleId="Heading4">
    <w:name w:val="heading 4"/>
    <w:aliases w:val="~BodyHeading"/>
    <w:basedOn w:val="Normal"/>
    <w:next w:val="Normal"/>
    <w:qFormat/>
    <w:rsid w:val="00447A9F"/>
    <w:pPr>
      <w:keepNext/>
      <w:spacing w:before="240"/>
      <w:outlineLvl w:val="3"/>
    </w:pPr>
    <w:rPr>
      <w:color w:val="003876"/>
    </w:rPr>
  </w:style>
  <w:style w:type="paragraph" w:styleId="Heading5">
    <w:name w:val="heading 5"/>
    <w:aliases w:val="~MinorBodyHeading"/>
    <w:basedOn w:val="Heading4"/>
    <w:next w:val="Normal"/>
    <w:qFormat/>
    <w:rsid w:val="00BD7A5D"/>
    <w:pPr>
      <w:outlineLvl w:val="4"/>
    </w:pPr>
    <w:rPr>
      <w:i/>
    </w:rPr>
  </w:style>
  <w:style w:type="paragraph" w:styleId="Heading6">
    <w:name w:val="heading 6"/>
    <w:basedOn w:val="Normal"/>
    <w:next w:val="Normal"/>
    <w:qFormat/>
    <w:rsid w:val="00BD7A5D"/>
    <w:pPr>
      <w:spacing w:before="240" w:after="60"/>
      <w:outlineLvl w:val="5"/>
    </w:pPr>
    <w:rPr>
      <w:rFonts w:ascii="Times New Roman" w:hAnsi="Times New Roman"/>
      <w:b/>
      <w:bCs/>
    </w:rPr>
  </w:style>
  <w:style w:type="paragraph" w:styleId="Heading7">
    <w:name w:val="heading 7"/>
    <w:basedOn w:val="Normal"/>
    <w:next w:val="Normal"/>
    <w:qFormat/>
    <w:rsid w:val="00BD7A5D"/>
    <w:pPr>
      <w:spacing w:before="240" w:after="60"/>
      <w:outlineLvl w:val="6"/>
    </w:pPr>
    <w:rPr>
      <w:rFonts w:ascii="Times New Roman" w:hAnsi="Times New Roman"/>
      <w:sz w:val="24"/>
      <w:szCs w:val="24"/>
    </w:rPr>
  </w:style>
  <w:style w:type="paragraph" w:styleId="Heading8">
    <w:name w:val="heading 8"/>
    <w:basedOn w:val="Normal"/>
    <w:next w:val="Normal"/>
    <w:qFormat/>
    <w:rsid w:val="00BD7A5D"/>
    <w:pPr>
      <w:spacing w:before="240" w:after="60"/>
      <w:outlineLvl w:val="7"/>
    </w:pPr>
    <w:rPr>
      <w:rFonts w:ascii="Times New Roman" w:hAnsi="Times New Roman"/>
      <w:i/>
      <w:iCs/>
      <w:sz w:val="24"/>
      <w:szCs w:val="24"/>
    </w:rPr>
  </w:style>
  <w:style w:type="paragraph" w:styleId="Heading9">
    <w:name w:val="heading 9"/>
    <w:basedOn w:val="Normal"/>
    <w:next w:val="Normal"/>
    <w:qFormat/>
    <w:rsid w:val="00BD7A5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1172E"/>
    <w:rPr>
      <w:rFonts w:ascii="Times New Roman" w:hAnsi="Times New Roman"/>
      <w:sz w:val="24"/>
      <w:szCs w:val="24"/>
    </w:rPr>
  </w:style>
  <w:style w:type="paragraph" w:customStyle="1" w:styleId="BaseStyle">
    <w:name w:val="~BaseStyle"/>
    <w:qFormat/>
    <w:rsid w:val="00E97CDA"/>
    <w:rPr>
      <w:rFonts w:ascii="Arial" w:eastAsia="Calibri" w:hAnsi="Arial"/>
      <w:sz w:val="22"/>
      <w:szCs w:val="22"/>
      <w:lang w:eastAsia="en-US"/>
    </w:rPr>
  </w:style>
  <w:style w:type="paragraph" w:customStyle="1" w:styleId="BodyText">
    <w:name w:val="~BodyText"/>
    <w:basedOn w:val="BaseStyle"/>
    <w:qFormat/>
    <w:rsid w:val="00160A99"/>
    <w:pPr>
      <w:numPr>
        <w:ilvl w:val="1"/>
        <w:numId w:val="5"/>
      </w:numPr>
      <w:spacing w:before="120" w:line="276" w:lineRule="auto"/>
    </w:pPr>
    <w:rPr>
      <w:rFonts w:cs="Arial"/>
      <w:color w:val="000000"/>
    </w:rPr>
  </w:style>
  <w:style w:type="table" w:styleId="TableGrid">
    <w:name w:val="Table Grid"/>
    <w:basedOn w:val="TableNormal"/>
    <w:uiPriority w:val="59"/>
    <w:rsid w:val="00E97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BaseStyle"/>
    <w:qFormat/>
    <w:rsid w:val="00E97CDA"/>
    <w:pPr>
      <w:spacing w:before="280"/>
    </w:pPr>
    <w:rPr>
      <w:b/>
      <w:color w:val="003876"/>
      <w:sz w:val="36"/>
    </w:rPr>
  </w:style>
  <w:style w:type="paragraph" w:customStyle="1" w:styleId="DocSubTitle">
    <w:name w:val="~DocSubTitle"/>
    <w:basedOn w:val="DocTitle"/>
    <w:qFormat/>
    <w:rsid w:val="00E97CDA"/>
    <w:pPr>
      <w:spacing w:before="720"/>
    </w:pPr>
    <w:rPr>
      <w:b w:val="0"/>
      <w:color w:val="7F7F7F"/>
    </w:rPr>
  </w:style>
  <w:style w:type="paragraph" w:customStyle="1" w:styleId="Date">
    <w:name w:val="~Date"/>
    <w:basedOn w:val="DocSubTitle"/>
    <w:qFormat/>
    <w:rsid w:val="00E97CDA"/>
    <w:pPr>
      <w:spacing w:before="760"/>
    </w:pPr>
    <w:rPr>
      <w:color w:val="F7931E"/>
    </w:rPr>
  </w:style>
  <w:style w:type="paragraph" w:customStyle="1" w:styleId="SectionHeadingNonToc">
    <w:name w:val="~SectionHeadingNonToc"/>
    <w:basedOn w:val="BaseStyle"/>
    <w:next w:val="Normal"/>
    <w:qFormat/>
    <w:rsid w:val="00FC4211"/>
    <w:pPr>
      <w:keepNext/>
      <w:pageBreakBefore/>
    </w:pPr>
    <w:rPr>
      <w:b/>
      <w:color w:val="003876"/>
      <w:sz w:val="28"/>
    </w:rPr>
  </w:style>
  <w:style w:type="paragraph" w:customStyle="1" w:styleId="DocTitleRef">
    <w:name w:val="~DocTitleRef"/>
    <w:basedOn w:val="DocTitle"/>
    <w:qFormat/>
    <w:rsid w:val="00BB4D6B"/>
    <w:pPr>
      <w:spacing w:before="0" w:after="60"/>
    </w:pPr>
    <w:rPr>
      <w:b w:val="0"/>
      <w:color w:val="F7931E"/>
      <w:sz w:val="22"/>
    </w:rPr>
  </w:style>
  <w:style w:type="paragraph" w:customStyle="1" w:styleId="GraphicLeft">
    <w:name w:val="~GraphicLeft"/>
    <w:basedOn w:val="BaseStyle"/>
    <w:qFormat/>
    <w:rsid w:val="00E97CDA"/>
  </w:style>
  <w:style w:type="paragraph" w:customStyle="1" w:styleId="PageNumber">
    <w:name w:val="~PageNumber"/>
    <w:basedOn w:val="BaseStyle"/>
    <w:qFormat/>
    <w:rsid w:val="00F56B84"/>
    <w:pPr>
      <w:spacing w:before="60"/>
    </w:pPr>
    <w:rPr>
      <w:b/>
      <w:i/>
      <w:color w:val="F7931E"/>
      <w:sz w:val="28"/>
    </w:rPr>
  </w:style>
  <w:style w:type="paragraph" w:customStyle="1" w:styleId="DocFooter">
    <w:name w:val="~DocFooter"/>
    <w:basedOn w:val="BaseStyle"/>
    <w:qFormat/>
    <w:rsid w:val="00263870"/>
    <w:pPr>
      <w:spacing w:before="280"/>
    </w:pPr>
    <w:rPr>
      <w:color w:val="F7931E"/>
      <w:sz w:val="18"/>
    </w:rPr>
  </w:style>
  <w:style w:type="paragraph" w:customStyle="1" w:styleId="Bullet1">
    <w:name w:val="~Bullet1"/>
    <w:basedOn w:val="Normal"/>
    <w:qFormat/>
    <w:rsid w:val="00447A9F"/>
    <w:pPr>
      <w:numPr>
        <w:numId w:val="1"/>
      </w:numPr>
      <w:spacing w:before="80"/>
    </w:pPr>
  </w:style>
  <w:style w:type="paragraph" w:customStyle="1" w:styleId="Bullet2">
    <w:name w:val="~Bullet2"/>
    <w:basedOn w:val="Bullet1"/>
    <w:qFormat/>
    <w:rsid w:val="00C3127A"/>
    <w:pPr>
      <w:numPr>
        <w:ilvl w:val="1"/>
      </w:numPr>
    </w:pPr>
  </w:style>
  <w:style w:type="paragraph" w:customStyle="1" w:styleId="Bullet3">
    <w:name w:val="~Bullet3"/>
    <w:basedOn w:val="Bullet2"/>
    <w:qFormat/>
    <w:rsid w:val="00E97CDA"/>
    <w:pPr>
      <w:numPr>
        <w:ilvl w:val="2"/>
      </w:numPr>
    </w:pPr>
  </w:style>
  <w:style w:type="paragraph" w:customStyle="1" w:styleId="NumBullet1">
    <w:name w:val="~NumBullet1"/>
    <w:basedOn w:val="Normal"/>
    <w:qFormat/>
    <w:rsid w:val="00447A9F"/>
    <w:pPr>
      <w:numPr>
        <w:numId w:val="2"/>
      </w:numPr>
      <w:spacing w:before="80"/>
    </w:pPr>
  </w:style>
  <w:style w:type="paragraph" w:customStyle="1" w:styleId="NumBullet2">
    <w:name w:val="~NumBullet2"/>
    <w:basedOn w:val="NumBullet1"/>
    <w:qFormat/>
    <w:rsid w:val="00C3127A"/>
    <w:pPr>
      <w:numPr>
        <w:ilvl w:val="1"/>
      </w:numPr>
    </w:pPr>
  </w:style>
  <w:style w:type="paragraph" w:customStyle="1" w:styleId="NumBullet3">
    <w:name w:val="~NumBullet3"/>
    <w:basedOn w:val="NumBullet2"/>
    <w:qFormat/>
    <w:rsid w:val="00C3127A"/>
    <w:pPr>
      <w:numPr>
        <w:ilvl w:val="2"/>
      </w:numPr>
    </w:pPr>
  </w:style>
  <w:style w:type="paragraph" w:styleId="Caption">
    <w:name w:val="caption"/>
    <w:aliases w:val="~Caption"/>
    <w:basedOn w:val="Normal"/>
    <w:next w:val="Normal"/>
    <w:qFormat/>
    <w:rsid w:val="00447A9F"/>
    <w:pPr>
      <w:spacing w:before="240" w:after="60"/>
      <w:ind w:left="992" w:hanging="992"/>
    </w:pPr>
    <w:rPr>
      <w:bCs/>
      <w:color w:val="003473"/>
      <w:szCs w:val="18"/>
    </w:rPr>
  </w:style>
  <w:style w:type="paragraph" w:customStyle="1" w:styleId="Source">
    <w:name w:val="~Source"/>
    <w:basedOn w:val="Normal"/>
    <w:next w:val="Normal"/>
    <w:qFormat/>
    <w:rsid w:val="00447A9F"/>
    <w:pPr>
      <w:tabs>
        <w:tab w:val="left" w:pos="709"/>
      </w:tabs>
      <w:spacing w:before="40" w:after="120"/>
    </w:pPr>
    <w:rPr>
      <w:i/>
      <w:color w:val="7F7F7F"/>
      <w:sz w:val="18"/>
    </w:rPr>
  </w:style>
  <w:style w:type="paragraph" w:styleId="Header">
    <w:name w:val="header"/>
    <w:basedOn w:val="Normal"/>
    <w:link w:val="HeaderChar"/>
    <w:uiPriority w:val="99"/>
    <w:rsid w:val="00B71FD8"/>
    <w:pPr>
      <w:tabs>
        <w:tab w:val="center" w:pos="4153"/>
        <w:tab w:val="right" w:pos="8306"/>
      </w:tabs>
    </w:pPr>
  </w:style>
  <w:style w:type="paragraph" w:customStyle="1" w:styleId="TableTitleLeft">
    <w:name w:val="~TableTitleLeft"/>
    <w:basedOn w:val="Normal"/>
    <w:qFormat/>
    <w:rsid w:val="00447A9F"/>
    <w:pPr>
      <w:spacing w:before="60" w:after="60"/>
    </w:pPr>
    <w:rPr>
      <w:b/>
      <w:color w:val="FFFFFF"/>
    </w:rPr>
  </w:style>
  <w:style w:type="paragraph" w:customStyle="1" w:styleId="TableTitleRight">
    <w:name w:val="~TableTitleRight"/>
    <w:basedOn w:val="TableTitleLeft"/>
    <w:qFormat/>
    <w:rsid w:val="00447A9F"/>
    <w:pPr>
      <w:jc w:val="right"/>
    </w:pPr>
  </w:style>
  <w:style w:type="paragraph" w:customStyle="1" w:styleId="TableTextLeft">
    <w:name w:val="~TableTextLeft"/>
    <w:basedOn w:val="Normal"/>
    <w:qFormat/>
    <w:rsid w:val="00447A9F"/>
    <w:pPr>
      <w:spacing w:before="20" w:after="20"/>
    </w:pPr>
  </w:style>
  <w:style w:type="paragraph" w:customStyle="1" w:styleId="TableTextRight">
    <w:name w:val="~TableTextRight"/>
    <w:basedOn w:val="TableTextLeft"/>
    <w:qFormat/>
    <w:rsid w:val="00E97CDA"/>
    <w:pPr>
      <w:jc w:val="right"/>
    </w:pPr>
  </w:style>
  <w:style w:type="paragraph" w:customStyle="1" w:styleId="TableBullet">
    <w:name w:val="~TableBullet"/>
    <w:basedOn w:val="TableTextLeft"/>
    <w:qFormat/>
    <w:rsid w:val="005C543A"/>
    <w:pPr>
      <w:numPr>
        <w:numId w:val="3"/>
      </w:numPr>
    </w:pPr>
  </w:style>
  <w:style w:type="paragraph" w:customStyle="1" w:styleId="AppHeading1">
    <w:name w:val="~AppHeading1"/>
    <w:basedOn w:val="Normal"/>
    <w:next w:val="Normal"/>
    <w:qFormat/>
    <w:rsid w:val="00E023D8"/>
    <w:pPr>
      <w:keepNext/>
      <w:numPr>
        <w:numId w:val="4"/>
      </w:numPr>
      <w:spacing w:before="240" w:after="120"/>
      <w:outlineLvl w:val="1"/>
    </w:pPr>
    <w:rPr>
      <w:b/>
      <w:color w:val="003876"/>
      <w:sz w:val="24"/>
    </w:rPr>
  </w:style>
  <w:style w:type="paragraph" w:styleId="TOC1">
    <w:name w:val="toc 1"/>
    <w:basedOn w:val="BaseStyle"/>
    <w:next w:val="BaseStyle"/>
    <w:autoRedefine/>
    <w:uiPriority w:val="39"/>
    <w:unhideWhenUsed/>
    <w:rsid w:val="00E023D8"/>
    <w:pPr>
      <w:tabs>
        <w:tab w:val="left" w:pos="440"/>
        <w:tab w:val="right" w:leader="dot" w:pos="9072"/>
      </w:tabs>
      <w:spacing w:before="160"/>
      <w:ind w:left="426" w:right="282" w:hanging="426"/>
    </w:pPr>
    <w:rPr>
      <w:b/>
      <w:color w:val="003876"/>
    </w:rPr>
  </w:style>
  <w:style w:type="paragraph" w:styleId="TOC2">
    <w:name w:val="toc 2"/>
    <w:basedOn w:val="BaseStyle"/>
    <w:next w:val="BaseStyle"/>
    <w:autoRedefine/>
    <w:unhideWhenUsed/>
    <w:rsid w:val="00E023D8"/>
    <w:pPr>
      <w:tabs>
        <w:tab w:val="right" w:leader="dot" w:pos="9072"/>
      </w:tabs>
      <w:spacing w:before="80"/>
      <w:ind w:left="426" w:right="282" w:hanging="1"/>
    </w:pPr>
    <w:rPr>
      <w:noProof/>
    </w:rPr>
  </w:style>
  <w:style w:type="paragraph" w:styleId="TOC3">
    <w:name w:val="toc 3"/>
    <w:basedOn w:val="TOC2"/>
    <w:next w:val="Normal"/>
    <w:autoRedefine/>
    <w:unhideWhenUsed/>
    <w:rsid w:val="00E97CDA"/>
    <w:pPr>
      <w:spacing w:line="276" w:lineRule="auto"/>
      <w:ind w:left="709" w:right="284" w:firstLine="0"/>
    </w:pPr>
  </w:style>
  <w:style w:type="character" w:styleId="Hyperlink">
    <w:name w:val="Hyperlink"/>
    <w:basedOn w:val="DefaultParagraphFont"/>
    <w:semiHidden/>
    <w:unhideWhenUsed/>
    <w:rsid w:val="00E97CDA"/>
    <w:rPr>
      <w:color w:val="0000FF"/>
      <w:u w:val="single"/>
    </w:rPr>
  </w:style>
  <w:style w:type="paragraph" w:styleId="TOC4">
    <w:name w:val="toc 4"/>
    <w:basedOn w:val="TOC1"/>
    <w:next w:val="BaseStyle"/>
    <w:autoRedefine/>
    <w:unhideWhenUsed/>
    <w:rsid w:val="00E023D8"/>
    <w:pPr>
      <w:spacing w:before="240"/>
      <w:ind w:left="425" w:right="284" w:hanging="425"/>
    </w:pPr>
  </w:style>
  <w:style w:type="paragraph" w:styleId="TableofFigures">
    <w:name w:val="table of figures"/>
    <w:basedOn w:val="TOC2"/>
    <w:next w:val="BaseStyle"/>
    <w:semiHidden/>
    <w:unhideWhenUsed/>
    <w:rsid w:val="00E97CDA"/>
    <w:pPr>
      <w:ind w:left="993" w:hanging="993"/>
    </w:pPr>
  </w:style>
  <w:style w:type="paragraph" w:customStyle="1" w:styleId="Address">
    <w:name w:val="~Address"/>
    <w:basedOn w:val="BaseStyle"/>
    <w:rsid w:val="00E97CDA"/>
    <w:pPr>
      <w:framePr w:hSpace="181" w:wrap="around" w:vAnchor="page" w:hAnchor="page" w:x="1135" w:y="13326"/>
      <w:suppressOverlap/>
    </w:pPr>
    <w:rPr>
      <w:rFonts w:eastAsia="Times New Roman"/>
      <w:color w:val="003876"/>
      <w:sz w:val="24"/>
    </w:rPr>
  </w:style>
  <w:style w:type="paragraph" w:customStyle="1" w:styleId="ContactName">
    <w:name w:val="~ContactName"/>
    <w:basedOn w:val="BaseStyle"/>
    <w:rsid w:val="00E97CDA"/>
    <w:pPr>
      <w:framePr w:hSpace="181" w:wrap="around" w:vAnchor="page" w:hAnchor="page" w:x="1135" w:y="13042"/>
      <w:suppressOverlap/>
    </w:pPr>
    <w:rPr>
      <w:rFonts w:eastAsia="Times New Roman"/>
      <w:color w:val="7F7F7F"/>
    </w:rPr>
  </w:style>
  <w:style w:type="numbering" w:styleId="111111">
    <w:name w:val="Outline List 2"/>
    <w:basedOn w:val="NoList"/>
    <w:semiHidden/>
    <w:rsid w:val="00E023D8"/>
    <w:pPr>
      <w:numPr>
        <w:numId w:val="17"/>
      </w:numPr>
    </w:pPr>
  </w:style>
  <w:style w:type="paragraph" w:customStyle="1" w:styleId="AppSubHead">
    <w:name w:val="~AppSubHead"/>
    <w:basedOn w:val="AppHeading1"/>
    <w:next w:val="Normal"/>
    <w:rsid w:val="00025EA7"/>
    <w:pPr>
      <w:numPr>
        <w:numId w:val="0"/>
      </w:numPr>
    </w:pPr>
    <w:rPr>
      <w:rFonts w:eastAsia="Times New Roman"/>
      <w:szCs w:val="20"/>
    </w:rPr>
  </w:style>
  <w:style w:type="table" w:customStyle="1" w:styleId="PtegTable1">
    <w:name w:val="~PtegTable1"/>
    <w:basedOn w:val="TableNormal"/>
    <w:next w:val="TableGrid"/>
    <w:rsid w:val="00E97CDA"/>
    <w:rPr>
      <w:rFonts w:ascii="Arial" w:eastAsia="Calibri" w:hAnsi="Arial"/>
    </w:rPr>
    <w:tblPr>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rPr>
      <w:tblPr/>
      <w:tcPr>
        <w:shd w:val="clear" w:color="auto" w:fill="7F7F7F"/>
      </w:tcPr>
    </w:tblStylePr>
  </w:style>
  <w:style w:type="paragraph" w:customStyle="1" w:styleId="Confidential">
    <w:name w:val="~Confidential"/>
    <w:basedOn w:val="BaseStyle"/>
    <w:rsid w:val="00E97CDA"/>
    <w:pPr>
      <w:framePr w:hSpace="181" w:wrap="around" w:vAnchor="page" w:hAnchor="page" w:x="4509" w:y="5104"/>
      <w:suppressOverlap/>
    </w:pPr>
    <w:rPr>
      <w:rFonts w:eastAsia="Times New Roman"/>
      <w:b/>
      <w:i/>
      <w:color w:val="F7931E"/>
      <w:sz w:val="28"/>
    </w:rPr>
  </w:style>
  <w:style w:type="paragraph" w:customStyle="1" w:styleId="DocType">
    <w:name w:val="~DocType"/>
    <w:basedOn w:val="BaseStyle"/>
    <w:rsid w:val="00E97CDA"/>
    <w:pPr>
      <w:framePr w:hSpace="181" w:wrap="around" w:vAnchor="page" w:hAnchor="page" w:x="4509" w:y="5217"/>
      <w:spacing w:before="480"/>
      <w:suppressOverlap/>
    </w:pPr>
    <w:rPr>
      <w:rFonts w:eastAsia="Times New Roman"/>
      <w:color w:val="003876"/>
      <w:sz w:val="28"/>
    </w:rPr>
  </w:style>
  <w:style w:type="paragraph" w:styleId="Footer">
    <w:name w:val="footer"/>
    <w:basedOn w:val="Normal"/>
    <w:link w:val="FooterChar"/>
    <w:uiPriority w:val="99"/>
    <w:rsid w:val="00B71FD8"/>
    <w:pPr>
      <w:tabs>
        <w:tab w:val="center" w:pos="4153"/>
        <w:tab w:val="right" w:pos="8306"/>
      </w:tabs>
    </w:pPr>
  </w:style>
  <w:style w:type="paragraph" w:customStyle="1" w:styleId="ConfidentialRef">
    <w:name w:val="~ConfidentialRef"/>
    <w:basedOn w:val="BaseStyle"/>
    <w:rsid w:val="00BB4D6B"/>
    <w:pPr>
      <w:framePr w:hSpace="181" w:wrap="around" w:vAnchor="page" w:hAnchor="margin" w:xAlign="right" w:y="965"/>
      <w:spacing w:before="60"/>
      <w:suppressOverlap/>
      <w:jc w:val="right"/>
    </w:pPr>
    <w:rPr>
      <w:color w:val="F7931E"/>
    </w:rPr>
  </w:style>
  <w:style w:type="character" w:styleId="PageNumber0">
    <w:name w:val="page number"/>
    <w:basedOn w:val="DefaultParagraphFont"/>
    <w:semiHidden/>
    <w:rsid w:val="00263870"/>
  </w:style>
  <w:style w:type="paragraph" w:customStyle="1" w:styleId="AppMinorSubHead">
    <w:name w:val="~AppMinorSubHead"/>
    <w:basedOn w:val="AppSubHead"/>
    <w:next w:val="Normal"/>
    <w:rsid w:val="00025EA7"/>
    <w:rPr>
      <w:i/>
      <w:sz w:val="22"/>
    </w:rPr>
  </w:style>
  <w:style w:type="paragraph" w:customStyle="1" w:styleId="AppendixDivider">
    <w:name w:val="~AppendixDivider"/>
    <w:basedOn w:val="Normal"/>
    <w:next w:val="AppHeading1"/>
    <w:rsid w:val="00025EA7"/>
    <w:pPr>
      <w:keepNext/>
      <w:pageBreakBefore/>
      <w:spacing w:before="0" w:after="360" w:line="240" w:lineRule="auto"/>
    </w:pPr>
    <w:rPr>
      <w:b/>
      <w:color w:val="003876"/>
      <w:sz w:val="28"/>
    </w:rPr>
  </w:style>
  <w:style w:type="numbering" w:styleId="1ai">
    <w:name w:val="Outline List 1"/>
    <w:basedOn w:val="NoList"/>
    <w:semiHidden/>
    <w:rsid w:val="00E023D8"/>
    <w:pPr>
      <w:numPr>
        <w:numId w:val="18"/>
      </w:numPr>
    </w:pPr>
  </w:style>
  <w:style w:type="numbering" w:styleId="ArticleSection">
    <w:name w:val="Outline List 3"/>
    <w:basedOn w:val="NoList"/>
    <w:semiHidden/>
    <w:rsid w:val="00E023D8"/>
    <w:pPr>
      <w:numPr>
        <w:numId w:val="19"/>
      </w:numPr>
    </w:pPr>
  </w:style>
  <w:style w:type="paragraph" w:styleId="BlockText">
    <w:name w:val="Block Text"/>
    <w:basedOn w:val="Normal"/>
    <w:semiHidden/>
    <w:rsid w:val="00E023D8"/>
    <w:pPr>
      <w:spacing w:after="120"/>
      <w:ind w:left="1440" w:right="1440"/>
    </w:pPr>
  </w:style>
  <w:style w:type="paragraph" w:styleId="BodyText0">
    <w:name w:val="Body Text"/>
    <w:basedOn w:val="Normal"/>
    <w:semiHidden/>
    <w:rsid w:val="00E023D8"/>
    <w:pPr>
      <w:spacing w:after="120"/>
    </w:pPr>
  </w:style>
  <w:style w:type="paragraph" w:styleId="BodyText2">
    <w:name w:val="Body Text 2"/>
    <w:basedOn w:val="Normal"/>
    <w:semiHidden/>
    <w:rsid w:val="00E023D8"/>
    <w:pPr>
      <w:spacing w:after="120" w:line="480" w:lineRule="auto"/>
    </w:pPr>
  </w:style>
  <w:style w:type="paragraph" w:styleId="BodyText3">
    <w:name w:val="Body Text 3"/>
    <w:basedOn w:val="Normal"/>
    <w:semiHidden/>
    <w:rsid w:val="00E023D8"/>
    <w:pPr>
      <w:spacing w:after="120"/>
    </w:pPr>
    <w:rPr>
      <w:sz w:val="16"/>
      <w:szCs w:val="16"/>
    </w:rPr>
  </w:style>
  <w:style w:type="paragraph" w:styleId="BodyTextFirstIndent">
    <w:name w:val="Body Text First Indent"/>
    <w:basedOn w:val="BodyText0"/>
    <w:semiHidden/>
    <w:rsid w:val="00E023D8"/>
    <w:pPr>
      <w:ind w:firstLine="210"/>
    </w:pPr>
  </w:style>
  <w:style w:type="paragraph" w:styleId="BodyTextIndent">
    <w:name w:val="Body Text Indent"/>
    <w:basedOn w:val="Normal"/>
    <w:semiHidden/>
    <w:rsid w:val="00E023D8"/>
    <w:pPr>
      <w:spacing w:after="120"/>
      <w:ind w:left="283"/>
    </w:pPr>
  </w:style>
  <w:style w:type="paragraph" w:styleId="BodyTextFirstIndent2">
    <w:name w:val="Body Text First Indent 2"/>
    <w:basedOn w:val="BodyTextIndent"/>
    <w:semiHidden/>
    <w:rsid w:val="00E023D8"/>
    <w:pPr>
      <w:ind w:firstLine="210"/>
    </w:pPr>
  </w:style>
  <w:style w:type="paragraph" w:styleId="BodyTextIndent2">
    <w:name w:val="Body Text Indent 2"/>
    <w:basedOn w:val="Normal"/>
    <w:semiHidden/>
    <w:rsid w:val="00E023D8"/>
    <w:pPr>
      <w:spacing w:after="120" w:line="480" w:lineRule="auto"/>
      <w:ind w:left="283"/>
    </w:pPr>
  </w:style>
  <w:style w:type="paragraph" w:styleId="BodyTextIndent3">
    <w:name w:val="Body Text Indent 3"/>
    <w:basedOn w:val="Normal"/>
    <w:semiHidden/>
    <w:rsid w:val="00E023D8"/>
    <w:pPr>
      <w:spacing w:after="120"/>
      <w:ind w:left="283"/>
    </w:pPr>
    <w:rPr>
      <w:sz w:val="16"/>
      <w:szCs w:val="16"/>
    </w:rPr>
  </w:style>
  <w:style w:type="paragraph" w:styleId="Closing">
    <w:name w:val="Closing"/>
    <w:basedOn w:val="Normal"/>
    <w:semiHidden/>
    <w:rsid w:val="00E023D8"/>
    <w:pPr>
      <w:ind w:left="4252"/>
    </w:pPr>
  </w:style>
  <w:style w:type="paragraph" w:styleId="E-mailSignature">
    <w:name w:val="E-mail Signature"/>
    <w:basedOn w:val="Normal"/>
    <w:semiHidden/>
    <w:rsid w:val="00E023D8"/>
  </w:style>
  <w:style w:type="character" w:styleId="Emphasis">
    <w:name w:val="Emphasis"/>
    <w:basedOn w:val="DefaultParagraphFont"/>
    <w:qFormat/>
    <w:rsid w:val="00E023D8"/>
    <w:rPr>
      <w:i/>
      <w:iCs/>
    </w:rPr>
  </w:style>
  <w:style w:type="paragraph" w:styleId="EnvelopeAddress">
    <w:name w:val="envelope address"/>
    <w:basedOn w:val="Normal"/>
    <w:semiHidden/>
    <w:rsid w:val="00E023D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023D8"/>
    <w:rPr>
      <w:rFonts w:cs="Arial"/>
      <w:sz w:val="20"/>
      <w:szCs w:val="20"/>
    </w:rPr>
  </w:style>
  <w:style w:type="character" w:styleId="HTMLAcronym">
    <w:name w:val="HTML Acronym"/>
    <w:basedOn w:val="DefaultParagraphFont"/>
    <w:semiHidden/>
    <w:rsid w:val="00E023D8"/>
  </w:style>
  <w:style w:type="paragraph" w:styleId="HTMLAddress">
    <w:name w:val="HTML Address"/>
    <w:basedOn w:val="Normal"/>
    <w:semiHidden/>
    <w:rsid w:val="00E023D8"/>
    <w:rPr>
      <w:i/>
      <w:iCs/>
    </w:rPr>
  </w:style>
  <w:style w:type="character" w:styleId="HTMLCite">
    <w:name w:val="HTML Cite"/>
    <w:basedOn w:val="DefaultParagraphFont"/>
    <w:semiHidden/>
    <w:rsid w:val="00E023D8"/>
    <w:rPr>
      <w:i/>
      <w:iCs/>
    </w:rPr>
  </w:style>
  <w:style w:type="character" w:styleId="HTMLCode">
    <w:name w:val="HTML Code"/>
    <w:basedOn w:val="DefaultParagraphFont"/>
    <w:semiHidden/>
    <w:rsid w:val="00E023D8"/>
    <w:rPr>
      <w:rFonts w:ascii="Courier New" w:hAnsi="Courier New" w:cs="Courier New"/>
      <w:sz w:val="20"/>
      <w:szCs w:val="20"/>
    </w:rPr>
  </w:style>
  <w:style w:type="character" w:styleId="HTMLDefinition">
    <w:name w:val="HTML Definition"/>
    <w:basedOn w:val="DefaultParagraphFont"/>
    <w:semiHidden/>
    <w:rsid w:val="00E023D8"/>
    <w:rPr>
      <w:i/>
      <w:iCs/>
    </w:rPr>
  </w:style>
  <w:style w:type="character" w:styleId="HTMLKeyboard">
    <w:name w:val="HTML Keyboard"/>
    <w:basedOn w:val="DefaultParagraphFont"/>
    <w:semiHidden/>
    <w:rsid w:val="00E023D8"/>
    <w:rPr>
      <w:rFonts w:ascii="Courier New" w:hAnsi="Courier New" w:cs="Courier New"/>
      <w:sz w:val="20"/>
      <w:szCs w:val="20"/>
    </w:rPr>
  </w:style>
  <w:style w:type="paragraph" w:styleId="HTMLPreformatted">
    <w:name w:val="HTML Preformatted"/>
    <w:basedOn w:val="Normal"/>
    <w:semiHidden/>
    <w:rsid w:val="00E023D8"/>
    <w:rPr>
      <w:rFonts w:ascii="Courier New" w:hAnsi="Courier New" w:cs="Courier New"/>
      <w:sz w:val="20"/>
      <w:szCs w:val="20"/>
    </w:rPr>
  </w:style>
  <w:style w:type="character" w:styleId="HTMLSample">
    <w:name w:val="HTML Sample"/>
    <w:basedOn w:val="DefaultParagraphFont"/>
    <w:semiHidden/>
    <w:rsid w:val="00E023D8"/>
    <w:rPr>
      <w:rFonts w:ascii="Courier New" w:hAnsi="Courier New" w:cs="Courier New"/>
    </w:rPr>
  </w:style>
  <w:style w:type="character" w:styleId="HTMLTypewriter">
    <w:name w:val="HTML Typewriter"/>
    <w:basedOn w:val="DefaultParagraphFont"/>
    <w:semiHidden/>
    <w:rsid w:val="00E023D8"/>
    <w:rPr>
      <w:rFonts w:ascii="Courier New" w:hAnsi="Courier New" w:cs="Courier New"/>
      <w:sz w:val="20"/>
      <w:szCs w:val="20"/>
    </w:rPr>
  </w:style>
  <w:style w:type="character" w:styleId="HTMLVariable">
    <w:name w:val="HTML Variable"/>
    <w:basedOn w:val="DefaultParagraphFont"/>
    <w:semiHidden/>
    <w:rsid w:val="00E023D8"/>
    <w:rPr>
      <w:i/>
      <w:iCs/>
    </w:rPr>
  </w:style>
  <w:style w:type="character" w:styleId="LineNumber">
    <w:name w:val="line number"/>
    <w:basedOn w:val="DefaultParagraphFont"/>
    <w:semiHidden/>
    <w:rsid w:val="00E023D8"/>
  </w:style>
  <w:style w:type="paragraph" w:styleId="List">
    <w:name w:val="List"/>
    <w:basedOn w:val="Normal"/>
    <w:semiHidden/>
    <w:rsid w:val="00E023D8"/>
    <w:pPr>
      <w:ind w:left="283" w:hanging="283"/>
    </w:pPr>
  </w:style>
  <w:style w:type="paragraph" w:styleId="List2">
    <w:name w:val="List 2"/>
    <w:basedOn w:val="Normal"/>
    <w:semiHidden/>
    <w:rsid w:val="00E023D8"/>
    <w:pPr>
      <w:ind w:left="566" w:hanging="283"/>
    </w:pPr>
  </w:style>
  <w:style w:type="paragraph" w:styleId="List3">
    <w:name w:val="List 3"/>
    <w:basedOn w:val="Normal"/>
    <w:semiHidden/>
    <w:rsid w:val="00E023D8"/>
    <w:pPr>
      <w:ind w:left="849" w:hanging="283"/>
    </w:pPr>
  </w:style>
  <w:style w:type="paragraph" w:styleId="List4">
    <w:name w:val="List 4"/>
    <w:basedOn w:val="Normal"/>
    <w:semiHidden/>
    <w:rsid w:val="00E023D8"/>
    <w:pPr>
      <w:ind w:left="1132" w:hanging="283"/>
    </w:pPr>
  </w:style>
  <w:style w:type="paragraph" w:styleId="List5">
    <w:name w:val="List 5"/>
    <w:basedOn w:val="Normal"/>
    <w:semiHidden/>
    <w:rsid w:val="00E023D8"/>
    <w:pPr>
      <w:ind w:left="1415" w:hanging="283"/>
    </w:pPr>
  </w:style>
  <w:style w:type="paragraph" w:styleId="ListBullet">
    <w:name w:val="List Bullet"/>
    <w:basedOn w:val="Normal"/>
    <w:semiHidden/>
    <w:rsid w:val="00E023D8"/>
    <w:pPr>
      <w:numPr>
        <w:numId w:val="6"/>
      </w:numPr>
    </w:pPr>
  </w:style>
  <w:style w:type="paragraph" w:styleId="ListBullet2">
    <w:name w:val="List Bullet 2"/>
    <w:basedOn w:val="Normal"/>
    <w:semiHidden/>
    <w:rsid w:val="00E023D8"/>
    <w:pPr>
      <w:numPr>
        <w:numId w:val="7"/>
      </w:numPr>
    </w:pPr>
  </w:style>
  <w:style w:type="paragraph" w:styleId="ListBullet3">
    <w:name w:val="List Bullet 3"/>
    <w:basedOn w:val="Normal"/>
    <w:semiHidden/>
    <w:rsid w:val="00E023D8"/>
    <w:pPr>
      <w:numPr>
        <w:numId w:val="8"/>
      </w:numPr>
    </w:pPr>
  </w:style>
  <w:style w:type="paragraph" w:styleId="ListBullet4">
    <w:name w:val="List Bullet 4"/>
    <w:basedOn w:val="Normal"/>
    <w:semiHidden/>
    <w:rsid w:val="00E023D8"/>
    <w:pPr>
      <w:numPr>
        <w:numId w:val="9"/>
      </w:numPr>
    </w:pPr>
  </w:style>
  <w:style w:type="paragraph" w:styleId="ListBullet5">
    <w:name w:val="List Bullet 5"/>
    <w:basedOn w:val="Normal"/>
    <w:semiHidden/>
    <w:rsid w:val="00E023D8"/>
    <w:pPr>
      <w:numPr>
        <w:numId w:val="10"/>
      </w:numPr>
    </w:pPr>
  </w:style>
  <w:style w:type="paragraph" w:styleId="ListContinue">
    <w:name w:val="List Continue"/>
    <w:basedOn w:val="Normal"/>
    <w:semiHidden/>
    <w:rsid w:val="00E023D8"/>
    <w:pPr>
      <w:spacing w:after="120"/>
      <w:ind w:left="283"/>
    </w:pPr>
  </w:style>
  <w:style w:type="paragraph" w:styleId="ListContinue2">
    <w:name w:val="List Continue 2"/>
    <w:basedOn w:val="Normal"/>
    <w:semiHidden/>
    <w:rsid w:val="00E023D8"/>
    <w:pPr>
      <w:spacing w:after="120"/>
      <w:ind w:left="566"/>
    </w:pPr>
  </w:style>
  <w:style w:type="paragraph" w:styleId="ListContinue3">
    <w:name w:val="List Continue 3"/>
    <w:basedOn w:val="Normal"/>
    <w:semiHidden/>
    <w:rsid w:val="00E023D8"/>
    <w:pPr>
      <w:spacing w:after="120"/>
      <w:ind w:left="849"/>
    </w:pPr>
  </w:style>
  <w:style w:type="paragraph" w:styleId="ListContinue4">
    <w:name w:val="List Continue 4"/>
    <w:basedOn w:val="Normal"/>
    <w:semiHidden/>
    <w:rsid w:val="00E023D8"/>
    <w:pPr>
      <w:spacing w:after="120"/>
      <w:ind w:left="1132"/>
    </w:pPr>
  </w:style>
  <w:style w:type="paragraph" w:styleId="ListContinue5">
    <w:name w:val="List Continue 5"/>
    <w:basedOn w:val="Normal"/>
    <w:semiHidden/>
    <w:rsid w:val="00E023D8"/>
    <w:pPr>
      <w:spacing w:after="120"/>
      <w:ind w:left="1415"/>
    </w:pPr>
  </w:style>
  <w:style w:type="paragraph" w:styleId="ListNumber">
    <w:name w:val="List Number"/>
    <w:basedOn w:val="Normal"/>
    <w:semiHidden/>
    <w:rsid w:val="00E023D8"/>
    <w:pPr>
      <w:numPr>
        <w:numId w:val="11"/>
      </w:numPr>
    </w:pPr>
  </w:style>
  <w:style w:type="paragraph" w:styleId="ListNumber2">
    <w:name w:val="List Number 2"/>
    <w:basedOn w:val="Normal"/>
    <w:semiHidden/>
    <w:rsid w:val="00E023D8"/>
    <w:pPr>
      <w:numPr>
        <w:numId w:val="12"/>
      </w:numPr>
    </w:pPr>
  </w:style>
  <w:style w:type="paragraph" w:styleId="ListNumber3">
    <w:name w:val="List Number 3"/>
    <w:basedOn w:val="Normal"/>
    <w:semiHidden/>
    <w:rsid w:val="00E023D8"/>
    <w:pPr>
      <w:numPr>
        <w:numId w:val="13"/>
      </w:numPr>
    </w:pPr>
  </w:style>
  <w:style w:type="paragraph" w:styleId="ListNumber4">
    <w:name w:val="List Number 4"/>
    <w:basedOn w:val="Normal"/>
    <w:semiHidden/>
    <w:rsid w:val="00E023D8"/>
    <w:pPr>
      <w:numPr>
        <w:numId w:val="14"/>
      </w:numPr>
    </w:pPr>
  </w:style>
  <w:style w:type="paragraph" w:styleId="ListNumber5">
    <w:name w:val="List Number 5"/>
    <w:basedOn w:val="Normal"/>
    <w:semiHidden/>
    <w:rsid w:val="00E023D8"/>
    <w:pPr>
      <w:numPr>
        <w:numId w:val="15"/>
      </w:numPr>
    </w:pPr>
  </w:style>
  <w:style w:type="paragraph" w:styleId="MessageHeader">
    <w:name w:val="Message Header"/>
    <w:basedOn w:val="Normal"/>
    <w:semiHidden/>
    <w:rsid w:val="00E023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E023D8"/>
    <w:pPr>
      <w:ind w:left="720"/>
    </w:pPr>
  </w:style>
  <w:style w:type="paragraph" w:styleId="NoteHeading">
    <w:name w:val="Note Heading"/>
    <w:basedOn w:val="Normal"/>
    <w:next w:val="Normal"/>
    <w:semiHidden/>
    <w:rsid w:val="00E023D8"/>
  </w:style>
  <w:style w:type="paragraph" w:styleId="PlainText">
    <w:name w:val="Plain Text"/>
    <w:basedOn w:val="Normal"/>
    <w:semiHidden/>
    <w:rsid w:val="00E023D8"/>
    <w:rPr>
      <w:rFonts w:ascii="Courier New" w:hAnsi="Courier New" w:cs="Courier New"/>
      <w:sz w:val="20"/>
      <w:szCs w:val="20"/>
    </w:rPr>
  </w:style>
  <w:style w:type="paragraph" w:styleId="Salutation">
    <w:name w:val="Salutation"/>
    <w:basedOn w:val="Normal"/>
    <w:next w:val="Normal"/>
    <w:semiHidden/>
    <w:rsid w:val="00E023D8"/>
  </w:style>
  <w:style w:type="paragraph" w:styleId="Signature">
    <w:name w:val="Signature"/>
    <w:basedOn w:val="Normal"/>
    <w:semiHidden/>
    <w:rsid w:val="00E023D8"/>
    <w:pPr>
      <w:ind w:left="4252"/>
    </w:pPr>
  </w:style>
  <w:style w:type="character" w:styleId="Strong">
    <w:name w:val="Strong"/>
    <w:basedOn w:val="DefaultParagraphFont"/>
    <w:qFormat/>
    <w:rsid w:val="00E023D8"/>
    <w:rPr>
      <w:b/>
      <w:bCs/>
    </w:rPr>
  </w:style>
  <w:style w:type="paragraph" w:styleId="Subtitle">
    <w:name w:val="Subtitle"/>
    <w:basedOn w:val="Normal"/>
    <w:qFormat/>
    <w:rsid w:val="00E023D8"/>
    <w:pPr>
      <w:spacing w:after="60"/>
      <w:jc w:val="center"/>
      <w:outlineLvl w:val="1"/>
    </w:pPr>
    <w:rPr>
      <w:rFonts w:cs="Arial"/>
      <w:sz w:val="24"/>
      <w:szCs w:val="24"/>
    </w:rPr>
  </w:style>
  <w:style w:type="table" w:styleId="Table3Deffects1">
    <w:name w:val="Table 3D effects 1"/>
    <w:basedOn w:val="TableNormal"/>
    <w:semiHidden/>
    <w:rsid w:val="00E023D8"/>
    <w:pPr>
      <w:spacing w:before="12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23D8"/>
    <w:pPr>
      <w:spacing w:before="12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23D8"/>
    <w:pPr>
      <w:spacing w:before="12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23D8"/>
    <w:pPr>
      <w:spacing w:before="12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23D8"/>
    <w:pPr>
      <w:spacing w:before="12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23D8"/>
    <w:pPr>
      <w:spacing w:before="12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23D8"/>
    <w:pPr>
      <w:spacing w:before="12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23D8"/>
    <w:pPr>
      <w:spacing w:before="12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23D8"/>
    <w:pPr>
      <w:spacing w:before="12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23D8"/>
    <w:pPr>
      <w:spacing w:before="12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23D8"/>
    <w:pPr>
      <w:spacing w:before="12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23D8"/>
    <w:pPr>
      <w:spacing w:before="120" w:line="276"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23D8"/>
    <w:pPr>
      <w:spacing w:before="12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23D8"/>
    <w:pPr>
      <w:spacing w:before="12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23D8"/>
    <w:pPr>
      <w:spacing w:before="12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23D8"/>
    <w:pPr>
      <w:spacing w:before="12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23D8"/>
    <w:pPr>
      <w:spacing w:before="12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023D8"/>
    <w:pPr>
      <w:spacing w:before="12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23D8"/>
    <w:pPr>
      <w:spacing w:before="12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23D8"/>
    <w:pPr>
      <w:spacing w:before="12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23D8"/>
    <w:pPr>
      <w:spacing w:before="12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23D8"/>
    <w:pPr>
      <w:spacing w:before="12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23D8"/>
    <w:pPr>
      <w:spacing w:before="12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23D8"/>
    <w:pPr>
      <w:spacing w:before="12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23D8"/>
    <w:pPr>
      <w:spacing w:before="12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23D8"/>
    <w:pPr>
      <w:spacing w:before="12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23D8"/>
    <w:pPr>
      <w:spacing w:before="12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23D8"/>
    <w:pPr>
      <w:spacing w:before="12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23D8"/>
    <w:pPr>
      <w:spacing w:before="12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23D8"/>
    <w:pPr>
      <w:spacing w:before="12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23D8"/>
    <w:pPr>
      <w:spacing w:before="12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23D8"/>
    <w:pPr>
      <w:spacing w:before="12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23D8"/>
    <w:pPr>
      <w:spacing w:before="12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023D8"/>
    <w:pPr>
      <w:spacing w:before="12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23D8"/>
    <w:pPr>
      <w:spacing w:before="12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23D8"/>
    <w:pPr>
      <w:spacing w:before="12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023D8"/>
    <w:pPr>
      <w:spacing w:before="240" w:after="60"/>
      <w:jc w:val="center"/>
      <w:outlineLvl w:val="0"/>
    </w:pPr>
    <w:rPr>
      <w:rFonts w:cs="Arial"/>
      <w:b/>
      <w:bCs/>
      <w:kern w:val="28"/>
      <w:sz w:val="32"/>
      <w:szCs w:val="32"/>
    </w:rPr>
  </w:style>
  <w:style w:type="paragraph" w:styleId="TOC5">
    <w:name w:val="toc 5"/>
    <w:basedOn w:val="TOC2"/>
    <w:next w:val="Normal"/>
    <w:autoRedefine/>
    <w:rsid w:val="00E023D8"/>
    <w:pPr>
      <w:ind w:hanging="427"/>
    </w:pPr>
  </w:style>
  <w:style w:type="paragraph" w:styleId="BalloonText">
    <w:name w:val="Balloon Text"/>
    <w:basedOn w:val="Normal"/>
    <w:link w:val="BalloonTextChar"/>
    <w:rsid w:val="006D2D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D2DFC"/>
    <w:rPr>
      <w:rFonts w:ascii="Tahoma" w:eastAsia="Calibri" w:hAnsi="Tahoma" w:cs="Tahoma"/>
      <w:sz w:val="16"/>
      <w:szCs w:val="16"/>
      <w:lang w:eastAsia="en-US"/>
    </w:rPr>
  </w:style>
  <w:style w:type="paragraph" w:styleId="ListParagraph">
    <w:name w:val="List Paragraph"/>
    <w:basedOn w:val="Normal"/>
    <w:uiPriority w:val="34"/>
    <w:qFormat/>
    <w:rsid w:val="004F0C19"/>
    <w:pPr>
      <w:spacing w:after="120" w:line="240" w:lineRule="auto"/>
      <w:ind w:left="720"/>
    </w:pPr>
    <w:rPr>
      <w:rFonts w:cs="Arial"/>
      <w:sz w:val="24"/>
      <w:szCs w:val="24"/>
    </w:rPr>
  </w:style>
  <w:style w:type="paragraph" w:styleId="FootnoteText">
    <w:name w:val="footnote text"/>
    <w:basedOn w:val="Normal"/>
    <w:link w:val="FootnoteTextChar"/>
    <w:uiPriority w:val="99"/>
    <w:unhideWhenUsed/>
    <w:rsid w:val="004F0C19"/>
    <w:pPr>
      <w:spacing w:before="0" w:line="240" w:lineRule="auto"/>
    </w:pPr>
    <w:rPr>
      <w:rFonts w:cs="Arial"/>
      <w:sz w:val="20"/>
      <w:szCs w:val="20"/>
    </w:rPr>
  </w:style>
  <w:style w:type="character" w:customStyle="1" w:styleId="FootnoteTextChar">
    <w:name w:val="Footnote Text Char"/>
    <w:basedOn w:val="DefaultParagraphFont"/>
    <w:link w:val="FootnoteText"/>
    <w:uiPriority w:val="99"/>
    <w:rsid w:val="004F0C19"/>
    <w:rPr>
      <w:rFonts w:ascii="Arial" w:eastAsia="Calibri" w:hAnsi="Arial" w:cs="Arial"/>
      <w:lang w:eastAsia="en-US"/>
    </w:rPr>
  </w:style>
  <w:style w:type="character" w:styleId="FootnoteReference">
    <w:name w:val="footnote reference"/>
    <w:uiPriority w:val="99"/>
    <w:unhideWhenUsed/>
    <w:rsid w:val="004F0C19"/>
    <w:rPr>
      <w:vertAlign w:val="superscript"/>
    </w:rPr>
  </w:style>
  <w:style w:type="character" w:customStyle="1" w:styleId="HeaderChar">
    <w:name w:val="Header Char"/>
    <w:link w:val="Header"/>
    <w:uiPriority w:val="99"/>
    <w:rsid w:val="004F0C19"/>
    <w:rPr>
      <w:rFonts w:ascii="Arial" w:eastAsia="Calibri" w:hAnsi="Arial"/>
      <w:sz w:val="22"/>
      <w:szCs w:val="22"/>
      <w:lang w:eastAsia="en-US"/>
    </w:rPr>
  </w:style>
  <w:style w:type="character" w:customStyle="1" w:styleId="FooterChar">
    <w:name w:val="Footer Char"/>
    <w:link w:val="Footer"/>
    <w:uiPriority w:val="99"/>
    <w:rsid w:val="004F0C19"/>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NoNumber"/>
    <w:qFormat/>
    <w:rsid w:val="00447A9F"/>
    <w:pPr>
      <w:spacing w:before="120" w:line="276" w:lineRule="auto"/>
    </w:pPr>
    <w:rPr>
      <w:rFonts w:ascii="Arial" w:eastAsia="Calibri" w:hAnsi="Arial"/>
      <w:sz w:val="22"/>
      <w:szCs w:val="22"/>
      <w:lang w:eastAsia="en-US"/>
    </w:rPr>
  </w:style>
  <w:style w:type="paragraph" w:styleId="Heading1">
    <w:name w:val="heading 1"/>
    <w:aliases w:val="~SectionHeading"/>
    <w:basedOn w:val="Normal"/>
    <w:next w:val="BodyText"/>
    <w:qFormat/>
    <w:rsid w:val="00FB656B"/>
    <w:pPr>
      <w:keepNext/>
      <w:numPr>
        <w:numId w:val="5"/>
      </w:numPr>
      <w:spacing w:after="120"/>
      <w:outlineLvl w:val="0"/>
    </w:pPr>
    <w:rPr>
      <w:rFonts w:cs="Arial"/>
      <w:b/>
      <w:color w:val="003473"/>
      <w:sz w:val="28"/>
    </w:rPr>
  </w:style>
  <w:style w:type="paragraph" w:styleId="Heading2">
    <w:name w:val="heading 2"/>
    <w:aliases w:val="~SubHeading"/>
    <w:basedOn w:val="Normal"/>
    <w:next w:val="Normal"/>
    <w:qFormat/>
    <w:rsid w:val="00447A9F"/>
    <w:pPr>
      <w:keepNext/>
      <w:spacing w:before="240"/>
      <w:outlineLvl w:val="1"/>
    </w:pPr>
    <w:rPr>
      <w:rFonts w:cs="Arial"/>
      <w:b/>
      <w:color w:val="003473"/>
      <w:szCs w:val="24"/>
    </w:rPr>
  </w:style>
  <w:style w:type="paragraph" w:styleId="Heading3">
    <w:name w:val="heading 3"/>
    <w:aliases w:val="~MinorSubHeading"/>
    <w:basedOn w:val="Normal"/>
    <w:next w:val="Normal"/>
    <w:qFormat/>
    <w:rsid w:val="00F56B84"/>
    <w:pPr>
      <w:keepNext/>
      <w:spacing w:before="240"/>
      <w:outlineLvl w:val="2"/>
    </w:pPr>
    <w:rPr>
      <w:rFonts w:cs="Arial"/>
      <w:b/>
      <w:i/>
      <w:color w:val="003473"/>
      <w:szCs w:val="24"/>
    </w:rPr>
  </w:style>
  <w:style w:type="paragraph" w:styleId="Heading4">
    <w:name w:val="heading 4"/>
    <w:aliases w:val="~BodyHeading"/>
    <w:basedOn w:val="Normal"/>
    <w:next w:val="Normal"/>
    <w:qFormat/>
    <w:rsid w:val="00447A9F"/>
    <w:pPr>
      <w:keepNext/>
      <w:spacing w:before="240"/>
      <w:outlineLvl w:val="3"/>
    </w:pPr>
    <w:rPr>
      <w:color w:val="003876"/>
    </w:rPr>
  </w:style>
  <w:style w:type="paragraph" w:styleId="Heading5">
    <w:name w:val="heading 5"/>
    <w:aliases w:val="~MinorBodyHeading"/>
    <w:basedOn w:val="Heading4"/>
    <w:next w:val="Normal"/>
    <w:qFormat/>
    <w:rsid w:val="00BD7A5D"/>
    <w:pPr>
      <w:outlineLvl w:val="4"/>
    </w:pPr>
    <w:rPr>
      <w:i/>
    </w:rPr>
  </w:style>
  <w:style w:type="paragraph" w:styleId="Heading6">
    <w:name w:val="heading 6"/>
    <w:basedOn w:val="Normal"/>
    <w:next w:val="Normal"/>
    <w:qFormat/>
    <w:rsid w:val="00BD7A5D"/>
    <w:pPr>
      <w:spacing w:before="240" w:after="60"/>
      <w:outlineLvl w:val="5"/>
    </w:pPr>
    <w:rPr>
      <w:rFonts w:ascii="Times New Roman" w:hAnsi="Times New Roman"/>
      <w:b/>
      <w:bCs/>
    </w:rPr>
  </w:style>
  <w:style w:type="paragraph" w:styleId="Heading7">
    <w:name w:val="heading 7"/>
    <w:basedOn w:val="Normal"/>
    <w:next w:val="Normal"/>
    <w:qFormat/>
    <w:rsid w:val="00BD7A5D"/>
    <w:pPr>
      <w:spacing w:before="240" w:after="60"/>
      <w:outlineLvl w:val="6"/>
    </w:pPr>
    <w:rPr>
      <w:rFonts w:ascii="Times New Roman" w:hAnsi="Times New Roman"/>
      <w:sz w:val="24"/>
      <w:szCs w:val="24"/>
    </w:rPr>
  </w:style>
  <w:style w:type="paragraph" w:styleId="Heading8">
    <w:name w:val="heading 8"/>
    <w:basedOn w:val="Normal"/>
    <w:next w:val="Normal"/>
    <w:qFormat/>
    <w:rsid w:val="00BD7A5D"/>
    <w:pPr>
      <w:spacing w:before="240" w:after="60"/>
      <w:outlineLvl w:val="7"/>
    </w:pPr>
    <w:rPr>
      <w:rFonts w:ascii="Times New Roman" w:hAnsi="Times New Roman"/>
      <w:i/>
      <w:iCs/>
      <w:sz w:val="24"/>
      <w:szCs w:val="24"/>
    </w:rPr>
  </w:style>
  <w:style w:type="paragraph" w:styleId="Heading9">
    <w:name w:val="heading 9"/>
    <w:basedOn w:val="Normal"/>
    <w:next w:val="Normal"/>
    <w:qFormat/>
    <w:rsid w:val="00BD7A5D"/>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1172E"/>
    <w:rPr>
      <w:rFonts w:ascii="Times New Roman" w:hAnsi="Times New Roman"/>
      <w:sz w:val="24"/>
      <w:szCs w:val="24"/>
    </w:rPr>
  </w:style>
  <w:style w:type="paragraph" w:customStyle="1" w:styleId="BaseStyle">
    <w:name w:val="~BaseStyle"/>
    <w:qFormat/>
    <w:rsid w:val="00E97CDA"/>
    <w:rPr>
      <w:rFonts w:ascii="Arial" w:eastAsia="Calibri" w:hAnsi="Arial"/>
      <w:sz w:val="22"/>
      <w:szCs w:val="22"/>
      <w:lang w:eastAsia="en-US"/>
    </w:rPr>
  </w:style>
  <w:style w:type="paragraph" w:customStyle="1" w:styleId="BodyText">
    <w:name w:val="~BodyText"/>
    <w:basedOn w:val="BaseStyle"/>
    <w:qFormat/>
    <w:rsid w:val="00160A99"/>
    <w:pPr>
      <w:numPr>
        <w:ilvl w:val="1"/>
        <w:numId w:val="5"/>
      </w:numPr>
      <w:spacing w:before="120" w:line="276" w:lineRule="auto"/>
    </w:pPr>
    <w:rPr>
      <w:rFonts w:cs="Arial"/>
      <w:color w:val="000000"/>
    </w:rPr>
  </w:style>
  <w:style w:type="table" w:styleId="TableGrid">
    <w:name w:val="Table Grid"/>
    <w:basedOn w:val="TableNormal"/>
    <w:uiPriority w:val="59"/>
    <w:rsid w:val="00E97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BaseStyle"/>
    <w:qFormat/>
    <w:rsid w:val="00E97CDA"/>
    <w:pPr>
      <w:spacing w:before="280"/>
    </w:pPr>
    <w:rPr>
      <w:b/>
      <w:color w:val="003876"/>
      <w:sz w:val="36"/>
    </w:rPr>
  </w:style>
  <w:style w:type="paragraph" w:customStyle="1" w:styleId="DocSubTitle">
    <w:name w:val="~DocSubTitle"/>
    <w:basedOn w:val="DocTitle"/>
    <w:qFormat/>
    <w:rsid w:val="00E97CDA"/>
    <w:pPr>
      <w:spacing w:before="720"/>
    </w:pPr>
    <w:rPr>
      <w:b w:val="0"/>
      <w:color w:val="7F7F7F"/>
    </w:rPr>
  </w:style>
  <w:style w:type="paragraph" w:customStyle="1" w:styleId="Date">
    <w:name w:val="~Date"/>
    <w:basedOn w:val="DocSubTitle"/>
    <w:qFormat/>
    <w:rsid w:val="00E97CDA"/>
    <w:pPr>
      <w:spacing w:before="760"/>
    </w:pPr>
    <w:rPr>
      <w:color w:val="F7931E"/>
    </w:rPr>
  </w:style>
  <w:style w:type="paragraph" w:customStyle="1" w:styleId="SectionHeadingNonToc">
    <w:name w:val="~SectionHeadingNonToc"/>
    <w:basedOn w:val="BaseStyle"/>
    <w:next w:val="Normal"/>
    <w:qFormat/>
    <w:rsid w:val="00FC4211"/>
    <w:pPr>
      <w:keepNext/>
      <w:pageBreakBefore/>
    </w:pPr>
    <w:rPr>
      <w:b/>
      <w:color w:val="003876"/>
      <w:sz w:val="28"/>
    </w:rPr>
  </w:style>
  <w:style w:type="paragraph" w:customStyle="1" w:styleId="DocTitleRef">
    <w:name w:val="~DocTitleRef"/>
    <w:basedOn w:val="DocTitle"/>
    <w:qFormat/>
    <w:rsid w:val="00BB4D6B"/>
    <w:pPr>
      <w:spacing w:before="0" w:after="60"/>
    </w:pPr>
    <w:rPr>
      <w:b w:val="0"/>
      <w:color w:val="F7931E"/>
      <w:sz w:val="22"/>
    </w:rPr>
  </w:style>
  <w:style w:type="paragraph" w:customStyle="1" w:styleId="GraphicLeft">
    <w:name w:val="~GraphicLeft"/>
    <w:basedOn w:val="BaseStyle"/>
    <w:qFormat/>
    <w:rsid w:val="00E97CDA"/>
  </w:style>
  <w:style w:type="paragraph" w:customStyle="1" w:styleId="PageNumber">
    <w:name w:val="~PageNumber"/>
    <w:basedOn w:val="BaseStyle"/>
    <w:qFormat/>
    <w:rsid w:val="00F56B84"/>
    <w:pPr>
      <w:spacing w:before="60"/>
    </w:pPr>
    <w:rPr>
      <w:b/>
      <w:i/>
      <w:color w:val="F7931E"/>
      <w:sz w:val="28"/>
    </w:rPr>
  </w:style>
  <w:style w:type="paragraph" w:customStyle="1" w:styleId="DocFooter">
    <w:name w:val="~DocFooter"/>
    <w:basedOn w:val="BaseStyle"/>
    <w:qFormat/>
    <w:rsid w:val="00263870"/>
    <w:pPr>
      <w:spacing w:before="280"/>
    </w:pPr>
    <w:rPr>
      <w:color w:val="F7931E"/>
      <w:sz w:val="18"/>
    </w:rPr>
  </w:style>
  <w:style w:type="paragraph" w:customStyle="1" w:styleId="Bullet1">
    <w:name w:val="~Bullet1"/>
    <w:basedOn w:val="Normal"/>
    <w:qFormat/>
    <w:rsid w:val="00447A9F"/>
    <w:pPr>
      <w:numPr>
        <w:numId w:val="1"/>
      </w:numPr>
      <w:spacing w:before="80"/>
    </w:pPr>
  </w:style>
  <w:style w:type="paragraph" w:customStyle="1" w:styleId="Bullet2">
    <w:name w:val="~Bullet2"/>
    <w:basedOn w:val="Bullet1"/>
    <w:qFormat/>
    <w:rsid w:val="00C3127A"/>
    <w:pPr>
      <w:numPr>
        <w:ilvl w:val="1"/>
      </w:numPr>
    </w:pPr>
  </w:style>
  <w:style w:type="paragraph" w:customStyle="1" w:styleId="Bullet3">
    <w:name w:val="~Bullet3"/>
    <w:basedOn w:val="Bullet2"/>
    <w:qFormat/>
    <w:rsid w:val="00E97CDA"/>
    <w:pPr>
      <w:numPr>
        <w:ilvl w:val="2"/>
      </w:numPr>
    </w:pPr>
  </w:style>
  <w:style w:type="paragraph" w:customStyle="1" w:styleId="NumBullet1">
    <w:name w:val="~NumBullet1"/>
    <w:basedOn w:val="Normal"/>
    <w:qFormat/>
    <w:rsid w:val="00447A9F"/>
    <w:pPr>
      <w:numPr>
        <w:numId w:val="2"/>
      </w:numPr>
      <w:spacing w:before="80"/>
    </w:pPr>
  </w:style>
  <w:style w:type="paragraph" w:customStyle="1" w:styleId="NumBullet2">
    <w:name w:val="~NumBullet2"/>
    <w:basedOn w:val="NumBullet1"/>
    <w:qFormat/>
    <w:rsid w:val="00C3127A"/>
    <w:pPr>
      <w:numPr>
        <w:ilvl w:val="1"/>
      </w:numPr>
    </w:pPr>
  </w:style>
  <w:style w:type="paragraph" w:customStyle="1" w:styleId="NumBullet3">
    <w:name w:val="~NumBullet3"/>
    <w:basedOn w:val="NumBullet2"/>
    <w:qFormat/>
    <w:rsid w:val="00C3127A"/>
    <w:pPr>
      <w:numPr>
        <w:ilvl w:val="2"/>
      </w:numPr>
    </w:pPr>
  </w:style>
  <w:style w:type="paragraph" w:styleId="Caption">
    <w:name w:val="caption"/>
    <w:aliases w:val="~Caption"/>
    <w:basedOn w:val="Normal"/>
    <w:next w:val="Normal"/>
    <w:qFormat/>
    <w:rsid w:val="00447A9F"/>
    <w:pPr>
      <w:spacing w:before="240" w:after="60"/>
      <w:ind w:left="992" w:hanging="992"/>
    </w:pPr>
    <w:rPr>
      <w:bCs/>
      <w:color w:val="003473"/>
      <w:szCs w:val="18"/>
    </w:rPr>
  </w:style>
  <w:style w:type="paragraph" w:customStyle="1" w:styleId="Source">
    <w:name w:val="~Source"/>
    <w:basedOn w:val="Normal"/>
    <w:next w:val="Normal"/>
    <w:qFormat/>
    <w:rsid w:val="00447A9F"/>
    <w:pPr>
      <w:tabs>
        <w:tab w:val="left" w:pos="709"/>
      </w:tabs>
      <w:spacing w:before="40" w:after="120"/>
    </w:pPr>
    <w:rPr>
      <w:i/>
      <w:color w:val="7F7F7F"/>
      <w:sz w:val="18"/>
    </w:rPr>
  </w:style>
  <w:style w:type="paragraph" w:styleId="Header">
    <w:name w:val="header"/>
    <w:basedOn w:val="Normal"/>
    <w:link w:val="HeaderChar"/>
    <w:uiPriority w:val="99"/>
    <w:rsid w:val="00B71FD8"/>
    <w:pPr>
      <w:tabs>
        <w:tab w:val="center" w:pos="4153"/>
        <w:tab w:val="right" w:pos="8306"/>
      </w:tabs>
    </w:pPr>
  </w:style>
  <w:style w:type="paragraph" w:customStyle="1" w:styleId="TableTitleLeft">
    <w:name w:val="~TableTitleLeft"/>
    <w:basedOn w:val="Normal"/>
    <w:qFormat/>
    <w:rsid w:val="00447A9F"/>
    <w:pPr>
      <w:spacing w:before="60" w:after="60"/>
    </w:pPr>
    <w:rPr>
      <w:b/>
      <w:color w:val="FFFFFF"/>
    </w:rPr>
  </w:style>
  <w:style w:type="paragraph" w:customStyle="1" w:styleId="TableTitleRight">
    <w:name w:val="~TableTitleRight"/>
    <w:basedOn w:val="TableTitleLeft"/>
    <w:qFormat/>
    <w:rsid w:val="00447A9F"/>
    <w:pPr>
      <w:jc w:val="right"/>
    </w:pPr>
  </w:style>
  <w:style w:type="paragraph" w:customStyle="1" w:styleId="TableTextLeft">
    <w:name w:val="~TableTextLeft"/>
    <w:basedOn w:val="Normal"/>
    <w:qFormat/>
    <w:rsid w:val="00447A9F"/>
    <w:pPr>
      <w:spacing w:before="20" w:after="20"/>
    </w:pPr>
  </w:style>
  <w:style w:type="paragraph" w:customStyle="1" w:styleId="TableTextRight">
    <w:name w:val="~TableTextRight"/>
    <w:basedOn w:val="TableTextLeft"/>
    <w:qFormat/>
    <w:rsid w:val="00E97CDA"/>
    <w:pPr>
      <w:jc w:val="right"/>
    </w:pPr>
  </w:style>
  <w:style w:type="paragraph" w:customStyle="1" w:styleId="TableBullet">
    <w:name w:val="~TableBullet"/>
    <w:basedOn w:val="TableTextLeft"/>
    <w:qFormat/>
    <w:rsid w:val="005C543A"/>
    <w:pPr>
      <w:numPr>
        <w:numId w:val="3"/>
      </w:numPr>
    </w:pPr>
  </w:style>
  <w:style w:type="paragraph" w:customStyle="1" w:styleId="AppHeading1">
    <w:name w:val="~AppHeading1"/>
    <w:basedOn w:val="Normal"/>
    <w:next w:val="Normal"/>
    <w:qFormat/>
    <w:rsid w:val="00E023D8"/>
    <w:pPr>
      <w:keepNext/>
      <w:numPr>
        <w:numId w:val="4"/>
      </w:numPr>
      <w:spacing w:before="240" w:after="120"/>
      <w:outlineLvl w:val="1"/>
    </w:pPr>
    <w:rPr>
      <w:b/>
      <w:color w:val="003876"/>
      <w:sz w:val="24"/>
    </w:rPr>
  </w:style>
  <w:style w:type="paragraph" w:styleId="TOC1">
    <w:name w:val="toc 1"/>
    <w:basedOn w:val="BaseStyle"/>
    <w:next w:val="BaseStyle"/>
    <w:autoRedefine/>
    <w:uiPriority w:val="39"/>
    <w:unhideWhenUsed/>
    <w:rsid w:val="00E023D8"/>
    <w:pPr>
      <w:tabs>
        <w:tab w:val="left" w:pos="440"/>
        <w:tab w:val="right" w:leader="dot" w:pos="9072"/>
      </w:tabs>
      <w:spacing w:before="160"/>
      <w:ind w:left="426" w:right="282" w:hanging="426"/>
    </w:pPr>
    <w:rPr>
      <w:b/>
      <w:color w:val="003876"/>
    </w:rPr>
  </w:style>
  <w:style w:type="paragraph" w:styleId="TOC2">
    <w:name w:val="toc 2"/>
    <w:basedOn w:val="BaseStyle"/>
    <w:next w:val="BaseStyle"/>
    <w:autoRedefine/>
    <w:unhideWhenUsed/>
    <w:rsid w:val="00E023D8"/>
    <w:pPr>
      <w:tabs>
        <w:tab w:val="right" w:leader="dot" w:pos="9072"/>
      </w:tabs>
      <w:spacing w:before="80"/>
      <w:ind w:left="426" w:right="282" w:hanging="1"/>
    </w:pPr>
    <w:rPr>
      <w:noProof/>
    </w:rPr>
  </w:style>
  <w:style w:type="paragraph" w:styleId="TOC3">
    <w:name w:val="toc 3"/>
    <w:basedOn w:val="TOC2"/>
    <w:next w:val="Normal"/>
    <w:autoRedefine/>
    <w:unhideWhenUsed/>
    <w:rsid w:val="00E97CDA"/>
    <w:pPr>
      <w:spacing w:line="276" w:lineRule="auto"/>
      <w:ind w:left="709" w:right="284" w:firstLine="0"/>
    </w:pPr>
  </w:style>
  <w:style w:type="character" w:styleId="Hyperlink">
    <w:name w:val="Hyperlink"/>
    <w:basedOn w:val="DefaultParagraphFont"/>
    <w:semiHidden/>
    <w:unhideWhenUsed/>
    <w:rsid w:val="00E97CDA"/>
    <w:rPr>
      <w:color w:val="0000FF"/>
      <w:u w:val="single"/>
    </w:rPr>
  </w:style>
  <w:style w:type="paragraph" w:styleId="TOC4">
    <w:name w:val="toc 4"/>
    <w:basedOn w:val="TOC1"/>
    <w:next w:val="BaseStyle"/>
    <w:autoRedefine/>
    <w:unhideWhenUsed/>
    <w:rsid w:val="00E023D8"/>
    <w:pPr>
      <w:spacing w:before="240"/>
      <w:ind w:left="425" w:right="284" w:hanging="425"/>
    </w:pPr>
  </w:style>
  <w:style w:type="paragraph" w:styleId="TableofFigures">
    <w:name w:val="table of figures"/>
    <w:basedOn w:val="TOC2"/>
    <w:next w:val="BaseStyle"/>
    <w:semiHidden/>
    <w:unhideWhenUsed/>
    <w:rsid w:val="00E97CDA"/>
    <w:pPr>
      <w:ind w:left="993" w:hanging="993"/>
    </w:pPr>
  </w:style>
  <w:style w:type="paragraph" w:customStyle="1" w:styleId="Address">
    <w:name w:val="~Address"/>
    <w:basedOn w:val="BaseStyle"/>
    <w:rsid w:val="00E97CDA"/>
    <w:pPr>
      <w:framePr w:hSpace="181" w:wrap="around" w:vAnchor="page" w:hAnchor="page" w:x="1135" w:y="13326"/>
      <w:suppressOverlap/>
    </w:pPr>
    <w:rPr>
      <w:rFonts w:eastAsia="Times New Roman"/>
      <w:color w:val="003876"/>
      <w:sz w:val="24"/>
    </w:rPr>
  </w:style>
  <w:style w:type="paragraph" w:customStyle="1" w:styleId="ContactName">
    <w:name w:val="~ContactName"/>
    <w:basedOn w:val="BaseStyle"/>
    <w:rsid w:val="00E97CDA"/>
    <w:pPr>
      <w:framePr w:hSpace="181" w:wrap="around" w:vAnchor="page" w:hAnchor="page" w:x="1135" w:y="13042"/>
      <w:suppressOverlap/>
    </w:pPr>
    <w:rPr>
      <w:rFonts w:eastAsia="Times New Roman"/>
      <w:color w:val="7F7F7F"/>
    </w:rPr>
  </w:style>
  <w:style w:type="numbering" w:styleId="111111">
    <w:name w:val="Outline List 2"/>
    <w:basedOn w:val="NoList"/>
    <w:semiHidden/>
    <w:rsid w:val="00E023D8"/>
    <w:pPr>
      <w:numPr>
        <w:numId w:val="17"/>
      </w:numPr>
    </w:pPr>
  </w:style>
  <w:style w:type="paragraph" w:customStyle="1" w:styleId="AppSubHead">
    <w:name w:val="~AppSubHead"/>
    <w:basedOn w:val="AppHeading1"/>
    <w:next w:val="Normal"/>
    <w:rsid w:val="00025EA7"/>
    <w:pPr>
      <w:numPr>
        <w:numId w:val="0"/>
      </w:numPr>
    </w:pPr>
    <w:rPr>
      <w:rFonts w:eastAsia="Times New Roman"/>
      <w:szCs w:val="20"/>
    </w:rPr>
  </w:style>
  <w:style w:type="table" w:customStyle="1" w:styleId="PtegTable1">
    <w:name w:val="~PtegTable1"/>
    <w:basedOn w:val="TableNormal"/>
    <w:next w:val="TableGrid"/>
    <w:rsid w:val="00E97CDA"/>
    <w:rPr>
      <w:rFonts w:ascii="Arial" w:eastAsia="Calibri" w:hAnsi="Arial"/>
    </w:rPr>
    <w:tblPr>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rPr>
      <w:tblPr/>
      <w:tcPr>
        <w:shd w:val="clear" w:color="auto" w:fill="7F7F7F"/>
      </w:tcPr>
    </w:tblStylePr>
  </w:style>
  <w:style w:type="paragraph" w:customStyle="1" w:styleId="Confidential">
    <w:name w:val="~Confidential"/>
    <w:basedOn w:val="BaseStyle"/>
    <w:rsid w:val="00E97CDA"/>
    <w:pPr>
      <w:framePr w:hSpace="181" w:wrap="around" w:vAnchor="page" w:hAnchor="page" w:x="4509" w:y="5104"/>
      <w:suppressOverlap/>
    </w:pPr>
    <w:rPr>
      <w:rFonts w:eastAsia="Times New Roman"/>
      <w:b/>
      <w:i/>
      <w:color w:val="F7931E"/>
      <w:sz w:val="28"/>
    </w:rPr>
  </w:style>
  <w:style w:type="paragraph" w:customStyle="1" w:styleId="DocType">
    <w:name w:val="~DocType"/>
    <w:basedOn w:val="BaseStyle"/>
    <w:rsid w:val="00E97CDA"/>
    <w:pPr>
      <w:framePr w:hSpace="181" w:wrap="around" w:vAnchor="page" w:hAnchor="page" w:x="4509" w:y="5217"/>
      <w:spacing w:before="480"/>
      <w:suppressOverlap/>
    </w:pPr>
    <w:rPr>
      <w:rFonts w:eastAsia="Times New Roman"/>
      <w:color w:val="003876"/>
      <w:sz w:val="28"/>
    </w:rPr>
  </w:style>
  <w:style w:type="paragraph" w:styleId="Footer">
    <w:name w:val="footer"/>
    <w:basedOn w:val="Normal"/>
    <w:link w:val="FooterChar"/>
    <w:uiPriority w:val="99"/>
    <w:rsid w:val="00B71FD8"/>
    <w:pPr>
      <w:tabs>
        <w:tab w:val="center" w:pos="4153"/>
        <w:tab w:val="right" w:pos="8306"/>
      </w:tabs>
    </w:pPr>
  </w:style>
  <w:style w:type="paragraph" w:customStyle="1" w:styleId="ConfidentialRef">
    <w:name w:val="~ConfidentialRef"/>
    <w:basedOn w:val="BaseStyle"/>
    <w:rsid w:val="00BB4D6B"/>
    <w:pPr>
      <w:framePr w:hSpace="181" w:wrap="around" w:vAnchor="page" w:hAnchor="margin" w:xAlign="right" w:y="965"/>
      <w:spacing w:before="60"/>
      <w:suppressOverlap/>
      <w:jc w:val="right"/>
    </w:pPr>
    <w:rPr>
      <w:color w:val="F7931E"/>
    </w:rPr>
  </w:style>
  <w:style w:type="character" w:styleId="PageNumber0">
    <w:name w:val="page number"/>
    <w:basedOn w:val="DefaultParagraphFont"/>
    <w:semiHidden/>
    <w:rsid w:val="00263870"/>
  </w:style>
  <w:style w:type="paragraph" w:customStyle="1" w:styleId="AppMinorSubHead">
    <w:name w:val="~AppMinorSubHead"/>
    <w:basedOn w:val="AppSubHead"/>
    <w:next w:val="Normal"/>
    <w:rsid w:val="00025EA7"/>
    <w:rPr>
      <w:i/>
      <w:sz w:val="22"/>
    </w:rPr>
  </w:style>
  <w:style w:type="paragraph" w:customStyle="1" w:styleId="AppendixDivider">
    <w:name w:val="~AppendixDivider"/>
    <w:basedOn w:val="Normal"/>
    <w:next w:val="AppHeading1"/>
    <w:rsid w:val="00025EA7"/>
    <w:pPr>
      <w:keepNext/>
      <w:pageBreakBefore/>
      <w:spacing w:before="0" w:after="360" w:line="240" w:lineRule="auto"/>
    </w:pPr>
    <w:rPr>
      <w:b/>
      <w:color w:val="003876"/>
      <w:sz w:val="28"/>
    </w:rPr>
  </w:style>
  <w:style w:type="numbering" w:styleId="1ai">
    <w:name w:val="Outline List 1"/>
    <w:basedOn w:val="NoList"/>
    <w:semiHidden/>
    <w:rsid w:val="00E023D8"/>
    <w:pPr>
      <w:numPr>
        <w:numId w:val="18"/>
      </w:numPr>
    </w:pPr>
  </w:style>
  <w:style w:type="numbering" w:styleId="ArticleSection">
    <w:name w:val="Outline List 3"/>
    <w:basedOn w:val="NoList"/>
    <w:semiHidden/>
    <w:rsid w:val="00E023D8"/>
    <w:pPr>
      <w:numPr>
        <w:numId w:val="19"/>
      </w:numPr>
    </w:pPr>
  </w:style>
  <w:style w:type="paragraph" w:styleId="BlockText">
    <w:name w:val="Block Text"/>
    <w:basedOn w:val="Normal"/>
    <w:semiHidden/>
    <w:rsid w:val="00E023D8"/>
    <w:pPr>
      <w:spacing w:after="120"/>
      <w:ind w:left="1440" w:right="1440"/>
    </w:pPr>
  </w:style>
  <w:style w:type="paragraph" w:styleId="BodyText0">
    <w:name w:val="Body Text"/>
    <w:basedOn w:val="Normal"/>
    <w:semiHidden/>
    <w:rsid w:val="00E023D8"/>
    <w:pPr>
      <w:spacing w:after="120"/>
    </w:pPr>
  </w:style>
  <w:style w:type="paragraph" w:styleId="BodyText2">
    <w:name w:val="Body Text 2"/>
    <w:basedOn w:val="Normal"/>
    <w:semiHidden/>
    <w:rsid w:val="00E023D8"/>
    <w:pPr>
      <w:spacing w:after="120" w:line="480" w:lineRule="auto"/>
    </w:pPr>
  </w:style>
  <w:style w:type="paragraph" w:styleId="BodyText3">
    <w:name w:val="Body Text 3"/>
    <w:basedOn w:val="Normal"/>
    <w:semiHidden/>
    <w:rsid w:val="00E023D8"/>
    <w:pPr>
      <w:spacing w:after="120"/>
    </w:pPr>
    <w:rPr>
      <w:sz w:val="16"/>
      <w:szCs w:val="16"/>
    </w:rPr>
  </w:style>
  <w:style w:type="paragraph" w:styleId="BodyTextFirstIndent">
    <w:name w:val="Body Text First Indent"/>
    <w:basedOn w:val="BodyText0"/>
    <w:semiHidden/>
    <w:rsid w:val="00E023D8"/>
    <w:pPr>
      <w:ind w:firstLine="210"/>
    </w:pPr>
  </w:style>
  <w:style w:type="paragraph" w:styleId="BodyTextIndent">
    <w:name w:val="Body Text Indent"/>
    <w:basedOn w:val="Normal"/>
    <w:semiHidden/>
    <w:rsid w:val="00E023D8"/>
    <w:pPr>
      <w:spacing w:after="120"/>
      <w:ind w:left="283"/>
    </w:pPr>
  </w:style>
  <w:style w:type="paragraph" w:styleId="BodyTextFirstIndent2">
    <w:name w:val="Body Text First Indent 2"/>
    <w:basedOn w:val="BodyTextIndent"/>
    <w:semiHidden/>
    <w:rsid w:val="00E023D8"/>
    <w:pPr>
      <w:ind w:firstLine="210"/>
    </w:pPr>
  </w:style>
  <w:style w:type="paragraph" w:styleId="BodyTextIndent2">
    <w:name w:val="Body Text Indent 2"/>
    <w:basedOn w:val="Normal"/>
    <w:semiHidden/>
    <w:rsid w:val="00E023D8"/>
    <w:pPr>
      <w:spacing w:after="120" w:line="480" w:lineRule="auto"/>
      <w:ind w:left="283"/>
    </w:pPr>
  </w:style>
  <w:style w:type="paragraph" w:styleId="BodyTextIndent3">
    <w:name w:val="Body Text Indent 3"/>
    <w:basedOn w:val="Normal"/>
    <w:semiHidden/>
    <w:rsid w:val="00E023D8"/>
    <w:pPr>
      <w:spacing w:after="120"/>
      <w:ind w:left="283"/>
    </w:pPr>
    <w:rPr>
      <w:sz w:val="16"/>
      <w:szCs w:val="16"/>
    </w:rPr>
  </w:style>
  <w:style w:type="paragraph" w:styleId="Closing">
    <w:name w:val="Closing"/>
    <w:basedOn w:val="Normal"/>
    <w:semiHidden/>
    <w:rsid w:val="00E023D8"/>
    <w:pPr>
      <w:ind w:left="4252"/>
    </w:pPr>
  </w:style>
  <w:style w:type="paragraph" w:styleId="E-mailSignature">
    <w:name w:val="E-mail Signature"/>
    <w:basedOn w:val="Normal"/>
    <w:semiHidden/>
    <w:rsid w:val="00E023D8"/>
  </w:style>
  <w:style w:type="character" w:styleId="Emphasis">
    <w:name w:val="Emphasis"/>
    <w:basedOn w:val="DefaultParagraphFont"/>
    <w:qFormat/>
    <w:rsid w:val="00E023D8"/>
    <w:rPr>
      <w:i/>
      <w:iCs/>
    </w:rPr>
  </w:style>
  <w:style w:type="paragraph" w:styleId="EnvelopeAddress">
    <w:name w:val="envelope address"/>
    <w:basedOn w:val="Normal"/>
    <w:semiHidden/>
    <w:rsid w:val="00E023D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E023D8"/>
    <w:rPr>
      <w:rFonts w:cs="Arial"/>
      <w:sz w:val="20"/>
      <w:szCs w:val="20"/>
    </w:rPr>
  </w:style>
  <w:style w:type="character" w:styleId="HTMLAcronym">
    <w:name w:val="HTML Acronym"/>
    <w:basedOn w:val="DefaultParagraphFont"/>
    <w:semiHidden/>
    <w:rsid w:val="00E023D8"/>
  </w:style>
  <w:style w:type="paragraph" w:styleId="HTMLAddress">
    <w:name w:val="HTML Address"/>
    <w:basedOn w:val="Normal"/>
    <w:semiHidden/>
    <w:rsid w:val="00E023D8"/>
    <w:rPr>
      <w:i/>
      <w:iCs/>
    </w:rPr>
  </w:style>
  <w:style w:type="character" w:styleId="HTMLCite">
    <w:name w:val="HTML Cite"/>
    <w:basedOn w:val="DefaultParagraphFont"/>
    <w:semiHidden/>
    <w:rsid w:val="00E023D8"/>
    <w:rPr>
      <w:i/>
      <w:iCs/>
    </w:rPr>
  </w:style>
  <w:style w:type="character" w:styleId="HTMLCode">
    <w:name w:val="HTML Code"/>
    <w:basedOn w:val="DefaultParagraphFont"/>
    <w:semiHidden/>
    <w:rsid w:val="00E023D8"/>
    <w:rPr>
      <w:rFonts w:ascii="Courier New" w:hAnsi="Courier New" w:cs="Courier New"/>
      <w:sz w:val="20"/>
      <w:szCs w:val="20"/>
    </w:rPr>
  </w:style>
  <w:style w:type="character" w:styleId="HTMLDefinition">
    <w:name w:val="HTML Definition"/>
    <w:basedOn w:val="DefaultParagraphFont"/>
    <w:semiHidden/>
    <w:rsid w:val="00E023D8"/>
    <w:rPr>
      <w:i/>
      <w:iCs/>
    </w:rPr>
  </w:style>
  <w:style w:type="character" w:styleId="HTMLKeyboard">
    <w:name w:val="HTML Keyboard"/>
    <w:basedOn w:val="DefaultParagraphFont"/>
    <w:semiHidden/>
    <w:rsid w:val="00E023D8"/>
    <w:rPr>
      <w:rFonts w:ascii="Courier New" w:hAnsi="Courier New" w:cs="Courier New"/>
      <w:sz w:val="20"/>
      <w:szCs w:val="20"/>
    </w:rPr>
  </w:style>
  <w:style w:type="paragraph" w:styleId="HTMLPreformatted">
    <w:name w:val="HTML Preformatted"/>
    <w:basedOn w:val="Normal"/>
    <w:semiHidden/>
    <w:rsid w:val="00E023D8"/>
    <w:rPr>
      <w:rFonts w:ascii="Courier New" w:hAnsi="Courier New" w:cs="Courier New"/>
      <w:sz w:val="20"/>
      <w:szCs w:val="20"/>
    </w:rPr>
  </w:style>
  <w:style w:type="character" w:styleId="HTMLSample">
    <w:name w:val="HTML Sample"/>
    <w:basedOn w:val="DefaultParagraphFont"/>
    <w:semiHidden/>
    <w:rsid w:val="00E023D8"/>
    <w:rPr>
      <w:rFonts w:ascii="Courier New" w:hAnsi="Courier New" w:cs="Courier New"/>
    </w:rPr>
  </w:style>
  <w:style w:type="character" w:styleId="HTMLTypewriter">
    <w:name w:val="HTML Typewriter"/>
    <w:basedOn w:val="DefaultParagraphFont"/>
    <w:semiHidden/>
    <w:rsid w:val="00E023D8"/>
    <w:rPr>
      <w:rFonts w:ascii="Courier New" w:hAnsi="Courier New" w:cs="Courier New"/>
      <w:sz w:val="20"/>
      <w:szCs w:val="20"/>
    </w:rPr>
  </w:style>
  <w:style w:type="character" w:styleId="HTMLVariable">
    <w:name w:val="HTML Variable"/>
    <w:basedOn w:val="DefaultParagraphFont"/>
    <w:semiHidden/>
    <w:rsid w:val="00E023D8"/>
    <w:rPr>
      <w:i/>
      <w:iCs/>
    </w:rPr>
  </w:style>
  <w:style w:type="character" w:styleId="LineNumber">
    <w:name w:val="line number"/>
    <w:basedOn w:val="DefaultParagraphFont"/>
    <w:semiHidden/>
    <w:rsid w:val="00E023D8"/>
  </w:style>
  <w:style w:type="paragraph" w:styleId="List">
    <w:name w:val="List"/>
    <w:basedOn w:val="Normal"/>
    <w:semiHidden/>
    <w:rsid w:val="00E023D8"/>
    <w:pPr>
      <w:ind w:left="283" w:hanging="283"/>
    </w:pPr>
  </w:style>
  <w:style w:type="paragraph" w:styleId="List2">
    <w:name w:val="List 2"/>
    <w:basedOn w:val="Normal"/>
    <w:semiHidden/>
    <w:rsid w:val="00E023D8"/>
    <w:pPr>
      <w:ind w:left="566" w:hanging="283"/>
    </w:pPr>
  </w:style>
  <w:style w:type="paragraph" w:styleId="List3">
    <w:name w:val="List 3"/>
    <w:basedOn w:val="Normal"/>
    <w:semiHidden/>
    <w:rsid w:val="00E023D8"/>
    <w:pPr>
      <w:ind w:left="849" w:hanging="283"/>
    </w:pPr>
  </w:style>
  <w:style w:type="paragraph" w:styleId="List4">
    <w:name w:val="List 4"/>
    <w:basedOn w:val="Normal"/>
    <w:semiHidden/>
    <w:rsid w:val="00E023D8"/>
    <w:pPr>
      <w:ind w:left="1132" w:hanging="283"/>
    </w:pPr>
  </w:style>
  <w:style w:type="paragraph" w:styleId="List5">
    <w:name w:val="List 5"/>
    <w:basedOn w:val="Normal"/>
    <w:semiHidden/>
    <w:rsid w:val="00E023D8"/>
    <w:pPr>
      <w:ind w:left="1415" w:hanging="283"/>
    </w:pPr>
  </w:style>
  <w:style w:type="paragraph" w:styleId="ListBullet">
    <w:name w:val="List Bullet"/>
    <w:basedOn w:val="Normal"/>
    <w:semiHidden/>
    <w:rsid w:val="00E023D8"/>
    <w:pPr>
      <w:numPr>
        <w:numId w:val="6"/>
      </w:numPr>
    </w:pPr>
  </w:style>
  <w:style w:type="paragraph" w:styleId="ListBullet2">
    <w:name w:val="List Bullet 2"/>
    <w:basedOn w:val="Normal"/>
    <w:semiHidden/>
    <w:rsid w:val="00E023D8"/>
    <w:pPr>
      <w:numPr>
        <w:numId w:val="7"/>
      </w:numPr>
    </w:pPr>
  </w:style>
  <w:style w:type="paragraph" w:styleId="ListBullet3">
    <w:name w:val="List Bullet 3"/>
    <w:basedOn w:val="Normal"/>
    <w:semiHidden/>
    <w:rsid w:val="00E023D8"/>
    <w:pPr>
      <w:numPr>
        <w:numId w:val="8"/>
      </w:numPr>
    </w:pPr>
  </w:style>
  <w:style w:type="paragraph" w:styleId="ListBullet4">
    <w:name w:val="List Bullet 4"/>
    <w:basedOn w:val="Normal"/>
    <w:semiHidden/>
    <w:rsid w:val="00E023D8"/>
    <w:pPr>
      <w:numPr>
        <w:numId w:val="9"/>
      </w:numPr>
    </w:pPr>
  </w:style>
  <w:style w:type="paragraph" w:styleId="ListBullet5">
    <w:name w:val="List Bullet 5"/>
    <w:basedOn w:val="Normal"/>
    <w:semiHidden/>
    <w:rsid w:val="00E023D8"/>
    <w:pPr>
      <w:numPr>
        <w:numId w:val="10"/>
      </w:numPr>
    </w:pPr>
  </w:style>
  <w:style w:type="paragraph" w:styleId="ListContinue">
    <w:name w:val="List Continue"/>
    <w:basedOn w:val="Normal"/>
    <w:semiHidden/>
    <w:rsid w:val="00E023D8"/>
    <w:pPr>
      <w:spacing w:after="120"/>
      <w:ind w:left="283"/>
    </w:pPr>
  </w:style>
  <w:style w:type="paragraph" w:styleId="ListContinue2">
    <w:name w:val="List Continue 2"/>
    <w:basedOn w:val="Normal"/>
    <w:semiHidden/>
    <w:rsid w:val="00E023D8"/>
    <w:pPr>
      <w:spacing w:after="120"/>
      <w:ind w:left="566"/>
    </w:pPr>
  </w:style>
  <w:style w:type="paragraph" w:styleId="ListContinue3">
    <w:name w:val="List Continue 3"/>
    <w:basedOn w:val="Normal"/>
    <w:semiHidden/>
    <w:rsid w:val="00E023D8"/>
    <w:pPr>
      <w:spacing w:after="120"/>
      <w:ind w:left="849"/>
    </w:pPr>
  </w:style>
  <w:style w:type="paragraph" w:styleId="ListContinue4">
    <w:name w:val="List Continue 4"/>
    <w:basedOn w:val="Normal"/>
    <w:semiHidden/>
    <w:rsid w:val="00E023D8"/>
    <w:pPr>
      <w:spacing w:after="120"/>
      <w:ind w:left="1132"/>
    </w:pPr>
  </w:style>
  <w:style w:type="paragraph" w:styleId="ListContinue5">
    <w:name w:val="List Continue 5"/>
    <w:basedOn w:val="Normal"/>
    <w:semiHidden/>
    <w:rsid w:val="00E023D8"/>
    <w:pPr>
      <w:spacing w:after="120"/>
      <w:ind w:left="1415"/>
    </w:pPr>
  </w:style>
  <w:style w:type="paragraph" w:styleId="ListNumber">
    <w:name w:val="List Number"/>
    <w:basedOn w:val="Normal"/>
    <w:semiHidden/>
    <w:rsid w:val="00E023D8"/>
    <w:pPr>
      <w:numPr>
        <w:numId w:val="11"/>
      </w:numPr>
    </w:pPr>
  </w:style>
  <w:style w:type="paragraph" w:styleId="ListNumber2">
    <w:name w:val="List Number 2"/>
    <w:basedOn w:val="Normal"/>
    <w:semiHidden/>
    <w:rsid w:val="00E023D8"/>
    <w:pPr>
      <w:numPr>
        <w:numId w:val="12"/>
      </w:numPr>
    </w:pPr>
  </w:style>
  <w:style w:type="paragraph" w:styleId="ListNumber3">
    <w:name w:val="List Number 3"/>
    <w:basedOn w:val="Normal"/>
    <w:semiHidden/>
    <w:rsid w:val="00E023D8"/>
    <w:pPr>
      <w:numPr>
        <w:numId w:val="13"/>
      </w:numPr>
    </w:pPr>
  </w:style>
  <w:style w:type="paragraph" w:styleId="ListNumber4">
    <w:name w:val="List Number 4"/>
    <w:basedOn w:val="Normal"/>
    <w:semiHidden/>
    <w:rsid w:val="00E023D8"/>
    <w:pPr>
      <w:numPr>
        <w:numId w:val="14"/>
      </w:numPr>
    </w:pPr>
  </w:style>
  <w:style w:type="paragraph" w:styleId="ListNumber5">
    <w:name w:val="List Number 5"/>
    <w:basedOn w:val="Normal"/>
    <w:semiHidden/>
    <w:rsid w:val="00E023D8"/>
    <w:pPr>
      <w:numPr>
        <w:numId w:val="15"/>
      </w:numPr>
    </w:pPr>
  </w:style>
  <w:style w:type="paragraph" w:styleId="MessageHeader">
    <w:name w:val="Message Header"/>
    <w:basedOn w:val="Normal"/>
    <w:semiHidden/>
    <w:rsid w:val="00E023D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E023D8"/>
    <w:pPr>
      <w:ind w:left="720"/>
    </w:pPr>
  </w:style>
  <w:style w:type="paragraph" w:styleId="NoteHeading">
    <w:name w:val="Note Heading"/>
    <w:basedOn w:val="Normal"/>
    <w:next w:val="Normal"/>
    <w:semiHidden/>
    <w:rsid w:val="00E023D8"/>
  </w:style>
  <w:style w:type="paragraph" w:styleId="PlainText">
    <w:name w:val="Plain Text"/>
    <w:basedOn w:val="Normal"/>
    <w:semiHidden/>
    <w:rsid w:val="00E023D8"/>
    <w:rPr>
      <w:rFonts w:ascii="Courier New" w:hAnsi="Courier New" w:cs="Courier New"/>
      <w:sz w:val="20"/>
      <w:szCs w:val="20"/>
    </w:rPr>
  </w:style>
  <w:style w:type="paragraph" w:styleId="Salutation">
    <w:name w:val="Salutation"/>
    <w:basedOn w:val="Normal"/>
    <w:next w:val="Normal"/>
    <w:semiHidden/>
    <w:rsid w:val="00E023D8"/>
  </w:style>
  <w:style w:type="paragraph" w:styleId="Signature">
    <w:name w:val="Signature"/>
    <w:basedOn w:val="Normal"/>
    <w:semiHidden/>
    <w:rsid w:val="00E023D8"/>
    <w:pPr>
      <w:ind w:left="4252"/>
    </w:pPr>
  </w:style>
  <w:style w:type="character" w:styleId="Strong">
    <w:name w:val="Strong"/>
    <w:basedOn w:val="DefaultParagraphFont"/>
    <w:qFormat/>
    <w:rsid w:val="00E023D8"/>
    <w:rPr>
      <w:b/>
      <w:bCs/>
    </w:rPr>
  </w:style>
  <w:style w:type="paragraph" w:styleId="Subtitle">
    <w:name w:val="Subtitle"/>
    <w:basedOn w:val="Normal"/>
    <w:qFormat/>
    <w:rsid w:val="00E023D8"/>
    <w:pPr>
      <w:spacing w:after="60"/>
      <w:jc w:val="center"/>
      <w:outlineLvl w:val="1"/>
    </w:pPr>
    <w:rPr>
      <w:rFonts w:cs="Arial"/>
      <w:sz w:val="24"/>
      <w:szCs w:val="24"/>
    </w:rPr>
  </w:style>
  <w:style w:type="table" w:styleId="Table3Deffects1">
    <w:name w:val="Table 3D effects 1"/>
    <w:basedOn w:val="TableNormal"/>
    <w:semiHidden/>
    <w:rsid w:val="00E023D8"/>
    <w:pPr>
      <w:spacing w:before="120" w:line="276"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023D8"/>
    <w:pPr>
      <w:spacing w:before="12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023D8"/>
    <w:pPr>
      <w:spacing w:before="120" w:line="276"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023D8"/>
    <w:pPr>
      <w:spacing w:before="12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023D8"/>
    <w:pPr>
      <w:spacing w:before="120" w:line="276"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023D8"/>
    <w:pPr>
      <w:spacing w:before="120" w:line="276"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023D8"/>
    <w:pPr>
      <w:spacing w:before="120" w:line="276"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023D8"/>
    <w:pPr>
      <w:spacing w:before="12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023D8"/>
    <w:pPr>
      <w:spacing w:before="120" w:line="276"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023D8"/>
    <w:pPr>
      <w:spacing w:before="120" w:line="276"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023D8"/>
    <w:pPr>
      <w:spacing w:before="120" w:line="276"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023D8"/>
    <w:pPr>
      <w:spacing w:before="120" w:line="276"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023D8"/>
    <w:pPr>
      <w:spacing w:before="12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023D8"/>
    <w:pPr>
      <w:spacing w:before="120" w:line="276"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023D8"/>
    <w:pPr>
      <w:spacing w:before="120" w:line="276"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023D8"/>
    <w:pPr>
      <w:spacing w:before="12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023D8"/>
    <w:pPr>
      <w:spacing w:before="120"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023D8"/>
    <w:pPr>
      <w:spacing w:before="12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023D8"/>
    <w:pPr>
      <w:spacing w:before="120" w:line="276"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023D8"/>
    <w:pPr>
      <w:spacing w:before="120" w:line="276"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023D8"/>
    <w:pPr>
      <w:spacing w:before="120" w:line="276"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023D8"/>
    <w:pPr>
      <w:spacing w:before="120" w:line="276"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023D8"/>
    <w:pPr>
      <w:spacing w:before="120" w:line="276"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023D8"/>
    <w:pPr>
      <w:spacing w:before="120" w:line="276"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023D8"/>
    <w:pPr>
      <w:spacing w:before="12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023D8"/>
    <w:pPr>
      <w:spacing w:before="120" w:line="276"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023D8"/>
    <w:pPr>
      <w:spacing w:before="12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023D8"/>
    <w:pPr>
      <w:spacing w:before="120" w:line="276"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023D8"/>
    <w:pPr>
      <w:spacing w:before="12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023D8"/>
    <w:pPr>
      <w:spacing w:before="12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023D8"/>
    <w:pPr>
      <w:spacing w:before="120" w:line="276"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023D8"/>
    <w:pPr>
      <w:spacing w:before="120" w:line="276"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023D8"/>
    <w:pPr>
      <w:spacing w:before="120" w:line="276"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023D8"/>
    <w:pPr>
      <w:spacing w:before="120" w:line="276"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023D8"/>
    <w:pPr>
      <w:spacing w:before="12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023D8"/>
    <w:pPr>
      <w:spacing w:before="120" w:line="276"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023D8"/>
    <w:pPr>
      <w:spacing w:before="120" w:line="276"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023D8"/>
    <w:pPr>
      <w:spacing w:before="12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023D8"/>
    <w:pPr>
      <w:spacing w:before="240" w:after="60"/>
      <w:jc w:val="center"/>
      <w:outlineLvl w:val="0"/>
    </w:pPr>
    <w:rPr>
      <w:rFonts w:cs="Arial"/>
      <w:b/>
      <w:bCs/>
      <w:kern w:val="28"/>
      <w:sz w:val="32"/>
      <w:szCs w:val="32"/>
    </w:rPr>
  </w:style>
  <w:style w:type="paragraph" w:styleId="TOC5">
    <w:name w:val="toc 5"/>
    <w:basedOn w:val="TOC2"/>
    <w:next w:val="Normal"/>
    <w:autoRedefine/>
    <w:rsid w:val="00E023D8"/>
    <w:pPr>
      <w:ind w:hanging="427"/>
    </w:pPr>
  </w:style>
  <w:style w:type="paragraph" w:styleId="BalloonText">
    <w:name w:val="Balloon Text"/>
    <w:basedOn w:val="Normal"/>
    <w:link w:val="BalloonTextChar"/>
    <w:rsid w:val="006D2DF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D2DFC"/>
    <w:rPr>
      <w:rFonts w:ascii="Tahoma" w:eastAsia="Calibri" w:hAnsi="Tahoma" w:cs="Tahoma"/>
      <w:sz w:val="16"/>
      <w:szCs w:val="16"/>
      <w:lang w:eastAsia="en-US"/>
    </w:rPr>
  </w:style>
  <w:style w:type="paragraph" w:styleId="ListParagraph">
    <w:name w:val="List Paragraph"/>
    <w:basedOn w:val="Normal"/>
    <w:uiPriority w:val="34"/>
    <w:qFormat/>
    <w:rsid w:val="004F0C19"/>
    <w:pPr>
      <w:spacing w:after="120" w:line="240" w:lineRule="auto"/>
      <w:ind w:left="720"/>
    </w:pPr>
    <w:rPr>
      <w:rFonts w:cs="Arial"/>
      <w:sz w:val="24"/>
      <w:szCs w:val="24"/>
    </w:rPr>
  </w:style>
  <w:style w:type="paragraph" w:styleId="FootnoteText">
    <w:name w:val="footnote text"/>
    <w:basedOn w:val="Normal"/>
    <w:link w:val="FootnoteTextChar"/>
    <w:uiPriority w:val="99"/>
    <w:unhideWhenUsed/>
    <w:rsid w:val="004F0C19"/>
    <w:pPr>
      <w:spacing w:before="0" w:line="240" w:lineRule="auto"/>
    </w:pPr>
    <w:rPr>
      <w:rFonts w:cs="Arial"/>
      <w:sz w:val="20"/>
      <w:szCs w:val="20"/>
    </w:rPr>
  </w:style>
  <w:style w:type="character" w:customStyle="1" w:styleId="FootnoteTextChar">
    <w:name w:val="Footnote Text Char"/>
    <w:basedOn w:val="DefaultParagraphFont"/>
    <w:link w:val="FootnoteText"/>
    <w:uiPriority w:val="99"/>
    <w:rsid w:val="004F0C19"/>
    <w:rPr>
      <w:rFonts w:ascii="Arial" w:eastAsia="Calibri" w:hAnsi="Arial" w:cs="Arial"/>
      <w:lang w:eastAsia="en-US"/>
    </w:rPr>
  </w:style>
  <w:style w:type="character" w:styleId="FootnoteReference">
    <w:name w:val="footnote reference"/>
    <w:uiPriority w:val="99"/>
    <w:unhideWhenUsed/>
    <w:rsid w:val="004F0C19"/>
    <w:rPr>
      <w:vertAlign w:val="superscript"/>
    </w:rPr>
  </w:style>
  <w:style w:type="character" w:customStyle="1" w:styleId="HeaderChar">
    <w:name w:val="Header Char"/>
    <w:link w:val="Header"/>
    <w:uiPriority w:val="99"/>
    <w:rsid w:val="004F0C19"/>
    <w:rPr>
      <w:rFonts w:ascii="Arial" w:eastAsia="Calibri" w:hAnsi="Arial"/>
      <w:sz w:val="22"/>
      <w:szCs w:val="22"/>
      <w:lang w:eastAsia="en-US"/>
    </w:rPr>
  </w:style>
  <w:style w:type="character" w:customStyle="1" w:styleId="FooterChar">
    <w:name w:val="Footer Char"/>
    <w:link w:val="Footer"/>
    <w:uiPriority w:val="99"/>
    <w:rsid w:val="004F0C19"/>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wymetro.net\data\pteg\Projects\Bus%20fares%20and%20subsidies\Bus_profitability\bus_profitability_2014\Fame%20Bus%20companies%20V4%20August.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555555555555555E-2"/>
          <c:y val="3.3187306132188038E-2"/>
          <c:w val="0.68404330241637934"/>
          <c:h val="0.75266141732283465"/>
        </c:manualLayout>
      </c:layout>
      <c:lineChart>
        <c:grouping val="standard"/>
        <c:varyColors val="0"/>
        <c:ser>
          <c:idx val="0"/>
          <c:order val="0"/>
          <c:tx>
            <c:strRef>
              <c:f>Sheet2!$O$4</c:f>
              <c:strCache>
                <c:ptCount val="1"/>
                <c:pt idx="0">
                  <c:v>PTEs</c:v>
                </c:pt>
              </c:strCache>
            </c:strRef>
          </c:tx>
          <c:marker>
            <c:symbol val="none"/>
          </c:marker>
          <c:cat>
            <c:strRef>
              <c:f>Sheet2!$P$3:$Y$3</c:f>
              <c:strCache>
                <c:ptCount val="10"/>
                <c:pt idx="0">
                  <c:v>Last year</c:v>
                </c:pt>
                <c:pt idx="1">
                  <c:v>year -1</c:v>
                </c:pt>
                <c:pt idx="2">
                  <c:v>year -2</c:v>
                </c:pt>
                <c:pt idx="3">
                  <c:v>year -3</c:v>
                </c:pt>
                <c:pt idx="4">
                  <c:v>Year -4</c:v>
                </c:pt>
                <c:pt idx="5">
                  <c:v>Year -5</c:v>
                </c:pt>
                <c:pt idx="6">
                  <c:v>Year -6</c:v>
                </c:pt>
                <c:pt idx="7">
                  <c:v>Year -7</c:v>
                </c:pt>
                <c:pt idx="8">
                  <c:v>Year -8</c:v>
                </c:pt>
                <c:pt idx="9">
                  <c:v>Year -9</c:v>
                </c:pt>
              </c:strCache>
            </c:strRef>
          </c:cat>
          <c:val>
            <c:numRef>
              <c:f>Sheet2!$P$4:$Y$4</c:f>
              <c:numCache>
                <c:formatCode>0.00%</c:formatCode>
                <c:ptCount val="10"/>
                <c:pt idx="0">
                  <c:v>8.1093601114124461E-2</c:v>
                </c:pt>
                <c:pt idx="1">
                  <c:v>0.10230055535722829</c:v>
                </c:pt>
                <c:pt idx="2">
                  <c:v>0.11262519865191221</c:v>
                </c:pt>
                <c:pt idx="3">
                  <c:v>9.5063277673934618E-2</c:v>
                </c:pt>
                <c:pt idx="4">
                  <c:v>7.8424496955453823E-2</c:v>
                </c:pt>
                <c:pt idx="5">
                  <c:v>6.0288193997527689E-2</c:v>
                </c:pt>
                <c:pt idx="6">
                  <c:v>3.1136297473656819E-2</c:v>
                </c:pt>
                <c:pt idx="7">
                  <c:v>7.2993334818343733E-2</c:v>
                </c:pt>
                <c:pt idx="8">
                  <c:v>9.4189800487474329E-2</c:v>
                </c:pt>
                <c:pt idx="9">
                  <c:v>0.11327631757588641</c:v>
                </c:pt>
              </c:numCache>
            </c:numRef>
          </c:val>
          <c:smooth val="0"/>
        </c:ser>
        <c:ser>
          <c:idx val="1"/>
          <c:order val="1"/>
          <c:tx>
            <c:strRef>
              <c:f>Sheet2!$O$5</c:f>
              <c:strCache>
                <c:ptCount val="1"/>
                <c:pt idx="0">
                  <c:v>GB excluding London and the PTEs</c:v>
                </c:pt>
              </c:strCache>
            </c:strRef>
          </c:tx>
          <c:marker>
            <c:symbol val="none"/>
          </c:marker>
          <c:cat>
            <c:strRef>
              <c:f>Sheet2!$P$3:$Y$3</c:f>
              <c:strCache>
                <c:ptCount val="10"/>
                <c:pt idx="0">
                  <c:v>Last year</c:v>
                </c:pt>
                <c:pt idx="1">
                  <c:v>year -1</c:v>
                </c:pt>
                <c:pt idx="2">
                  <c:v>year -2</c:v>
                </c:pt>
                <c:pt idx="3">
                  <c:v>year -3</c:v>
                </c:pt>
                <c:pt idx="4">
                  <c:v>Year -4</c:v>
                </c:pt>
                <c:pt idx="5">
                  <c:v>Year -5</c:v>
                </c:pt>
                <c:pt idx="6">
                  <c:v>Year -6</c:v>
                </c:pt>
                <c:pt idx="7">
                  <c:v>Year -7</c:v>
                </c:pt>
                <c:pt idx="8">
                  <c:v>Year -8</c:v>
                </c:pt>
                <c:pt idx="9">
                  <c:v>Year -9</c:v>
                </c:pt>
              </c:strCache>
            </c:strRef>
          </c:cat>
          <c:val>
            <c:numRef>
              <c:f>Sheet2!$P$5:$Y$5</c:f>
              <c:numCache>
                <c:formatCode>0.00%</c:formatCode>
                <c:ptCount val="10"/>
                <c:pt idx="0">
                  <c:v>7.4569263831654936E-2</c:v>
                </c:pt>
                <c:pt idx="1">
                  <c:v>7.3879551662209428E-2</c:v>
                </c:pt>
                <c:pt idx="2">
                  <c:v>0.10187727653704721</c:v>
                </c:pt>
                <c:pt idx="3">
                  <c:v>7.2316105222001242E-2</c:v>
                </c:pt>
                <c:pt idx="4">
                  <c:v>8.0088411150836966E-2</c:v>
                </c:pt>
                <c:pt idx="5">
                  <c:v>3.5923032411013051E-2</c:v>
                </c:pt>
                <c:pt idx="6">
                  <c:v>2.6615336767485892E-3</c:v>
                </c:pt>
                <c:pt idx="7">
                  <c:v>2.6451085020625025E-2</c:v>
                </c:pt>
                <c:pt idx="8">
                  <c:v>4.5735562512120673E-2</c:v>
                </c:pt>
                <c:pt idx="9">
                  <c:v>6.75193327415365E-2</c:v>
                </c:pt>
              </c:numCache>
            </c:numRef>
          </c:val>
          <c:smooth val="0"/>
        </c:ser>
        <c:ser>
          <c:idx val="2"/>
          <c:order val="2"/>
          <c:tx>
            <c:strRef>
              <c:f>Sheet2!$O$6</c:f>
              <c:strCache>
                <c:ptCount val="1"/>
                <c:pt idx="0">
                  <c:v>London</c:v>
                </c:pt>
              </c:strCache>
            </c:strRef>
          </c:tx>
          <c:marker>
            <c:symbol val="none"/>
          </c:marker>
          <c:cat>
            <c:strRef>
              <c:f>Sheet2!$P$3:$Y$3</c:f>
              <c:strCache>
                <c:ptCount val="10"/>
                <c:pt idx="0">
                  <c:v>Last year</c:v>
                </c:pt>
                <c:pt idx="1">
                  <c:v>year -1</c:v>
                </c:pt>
                <c:pt idx="2">
                  <c:v>year -2</c:v>
                </c:pt>
                <c:pt idx="3">
                  <c:v>year -3</c:v>
                </c:pt>
                <c:pt idx="4">
                  <c:v>Year -4</c:v>
                </c:pt>
                <c:pt idx="5">
                  <c:v>Year -5</c:v>
                </c:pt>
                <c:pt idx="6">
                  <c:v>Year -6</c:v>
                </c:pt>
                <c:pt idx="7">
                  <c:v>Year -7</c:v>
                </c:pt>
                <c:pt idx="8">
                  <c:v>Year -8</c:v>
                </c:pt>
                <c:pt idx="9">
                  <c:v>Year -9</c:v>
                </c:pt>
              </c:strCache>
            </c:strRef>
          </c:cat>
          <c:val>
            <c:numRef>
              <c:f>Sheet2!$P$6:$Y$6</c:f>
              <c:numCache>
                <c:formatCode>0.00%</c:formatCode>
                <c:ptCount val="10"/>
                <c:pt idx="0">
                  <c:v>4.0680133796812484E-2</c:v>
                </c:pt>
                <c:pt idx="1">
                  <c:v>2.419610206853718E-2</c:v>
                </c:pt>
                <c:pt idx="2">
                  <c:v>1.8621149985588521E-2</c:v>
                </c:pt>
                <c:pt idx="3">
                  <c:v>4.6094024164034693E-2</c:v>
                </c:pt>
                <c:pt idx="4">
                  <c:v>5.3186411168153508E-2</c:v>
                </c:pt>
                <c:pt idx="5">
                  <c:v>2.1273427678641699E-2</c:v>
                </c:pt>
                <c:pt idx="6">
                  <c:v>1.6548161250482137E-2</c:v>
                </c:pt>
                <c:pt idx="7">
                  <c:v>4.0877779768659542E-2</c:v>
                </c:pt>
                <c:pt idx="8">
                  <c:v>8.7630682485610248E-2</c:v>
                </c:pt>
                <c:pt idx="9">
                  <c:v>4.0734393642954239E-2</c:v>
                </c:pt>
              </c:numCache>
            </c:numRef>
          </c:val>
          <c:smooth val="0"/>
        </c:ser>
        <c:dLbls>
          <c:showLegendKey val="0"/>
          <c:showVal val="0"/>
          <c:showCatName val="0"/>
          <c:showSerName val="0"/>
          <c:showPercent val="0"/>
          <c:showBubbleSize val="0"/>
        </c:dLbls>
        <c:marker val="1"/>
        <c:smooth val="0"/>
        <c:axId val="194803584"/>
        <c:axId val="242511872"/>
      </c:lineChart>
      <c:catAx>
        <c:axId val="194803584"/>
        <c:scaling>
          <c:orientation val="maxMin"/>
        </c:scaling>
        <c:delete val="0"/>
        <c:axPos val="b"/>
        <c:majorTickMark val="none"/>
        <c:minorTickMark val="none"/>
        <c:tickLblPos val="nextTo"/>
        <c:crossAx val="242511872"/>
        <c:crosses val="autoZero"/>
        <c:auto val="1"/>
        <c:lblAlgn val="ctr"/>
        <c:lblOffset val="100"/>
        <c:noMultiLvlLbl val="0"/>
      </c:catAx>
      <c:valAx>
        <c:axId val="242511872"/>
        <c:scaling>
          <c:orientation val="minMax"/>
        </c:scaling>
        <c:delete val="0"/>
        <c:axPos val="r"/>
        <c:majorGridlines/>
        <c:numFmt formatCode="0%" sourceLinked="0"/>
        <c:majorTickMark val="none"/>
        <c:minorTickMark val="none"/>
        <c:tickLblPos val="nextTo"/>
        <c:crossAx val="194803584"/>
        <c:crosses val="autoZero"/>
        <c:crossBetween val="between"/>
      </c:valAx>
    </c:plotArea>
    <c:legend>
      <c:legendPos val="r"/>
      <c:layout>
        <c:manualLayout>
          <c:xMode val="edge"/>
          <c:yMode val="edge"/>
          <c:x val="0.77786009844854798"/>
          <c:y val="0.313563350035791"/>
          <c:w val="0.20547331583552056"/>
          <c:h val="0.63656240886555848"/>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3405626928213"/>
          <c:y val="3.8947088135722154E-2"/>
          <c:w val="0.61583183680987241"/>
          <c:h val="0.7715464262619347"/>
        </c:manualLayout>
      </c:layout>
      <c:lineChart>
        <c:grouping val="standard"/>
        <c:varyColors val="0"/>
        <c:ser>
          <c:idx val="0"/>
          <c:order val="0"/>
          <c:tx>
            <c:strRef>
              <c:f>'PTE bus companies'!$B$28</c:f>
              <c:strCache>
                <c:ptCount val="1"/>
                <c:pt idx="0">
                  <c:v>First Average</c:v>
                </c:pt>
              </c:strCache>
            </c:strRef>
          </c:tx>
          <c:marker>
            <c:symbol val="none"/>
          </c:marker>
          <c:cat>
            <c:strRef>
              <c:f>'PTE bus companies'!$II$1:$IR$1</c:f>
              <c:strCache>
                <c:ptCount val="10"/>
                <c:pt idx="0">
                  <c:v>last Year</c:v>
                </c:pt>
                <c:pt idx="1">
                  <c:v>Year-1</c:v>
                </c:pt>
                <c:pt idx="2">
                  <c:v>Year-2</c:v>
                </c:pt>
                <c:pt idx="3">
                  <c:v>Year-3</c:v>
                </c:pt>
                <c:pt idx="4">
                  <c:v>Year-4</c:v>
                </c:pt>
                <c:pt idx="5">
                  <c:v>Year-5</c:v>
                </c:pt>
                <c:pt idx="6">
                  <c:v>Year-6</c:v>
                </c:pt>
                <c:pt idx="7">
                  <c:v>Year-7</c:v>
                </c:pt>
                <c:pt idx="8">
                  <c:v>Year-8</c:v>
                </c:pt>
                <c:pt idx="9">
                  <c:v>Year-9</c:v>
                </c:pt>
              </c:strCache>
            </c:strRef>
          </c:cat>
          <c:val>
            <c:numRef>
              <c:f>'PTE bus companies'!$AK$28:$AT$28</c:f>
              <c:numCache>
                <c:formatCode>0.00%</c:formatCode>
                <c:ptCount val="10"/>
                <c:pt idx="0">
                  <c:v>3.4598250366931545E-2</c:v>
                </c:pt>
                <c:pt idx="1">
                  <c:v>0.11461843062416489</c:v>
                </c:pt>
                <c:pt idx="2">
                  <c:v>0.15919626656061248</c:v>
                </c:pt>
                <c:pt idx="3">
                  <c:v>0.1101383268452555</c:v>
                </c:pt>
                <c:pt idx="4">
                  <c:v>9.8066285852085183E-2</c:v>
                </c:pt>
                <c:pt idx="5">
                  <c:v>9.9245452475523063E-2</c:v>
                </c:pt>
                <c:pt idx="6">
                  <c:v>2.5895532108896703E-2</c:v>
                </c:pt>
                <c:pt idx="7">
                  <c:v>8.9601732480628027E-2</c:v>
                </c:pt>
                <c:pt idx="8">
                  <c:v>0.11386749772287588</c:v>
                </c:pt>
                <c:pt idx="9">
                  <c:v>0.14628318652389738</c:v>
                </c:pt>
              </c:numCache>
            </c:numRef>
          </c:val>
          <c:smooth val="0"/>
        </c:ser>
        <c:ser>
          <c:idx val="1"/>
          <c:order val="1"/>
          <c:tx>
            <c:strRef>
              <c:f>'PTE bus companies'!$B$67</c:f>
              <c:strCache>
                <c:ptCount val="1"/>
                <c:pt idx="0">
                  <c:v>Arriva average</c:v>
                </c:pt>
              </c:strCache>
            </c:strRef>
          </c:tx>
          <c:marker>
            <c:symbol val="none"/>
          </c:marker>
          <c:cat>
            <c:strRef>
              <c:f>'PTE bus companies'!$II$1:$IR$1</c:f>
              <c:strCache>
                <c:ptCount val="10"/>
                <c:pt idx="0">
                  <c:v>last Year</c:v>
                </c:pt>
                <c:pt idx="1">
                  <c:v>Year-1</c:v>
                </c:pt>
                <c:pt idx="2">
                  <c:v>Year-2</c:v>
                </c:pt>
                <c:pt idx="3">
                  <c:v>Year-3</c:v>
                </c:pt>
                <c:pt idx="4">
                  <c:v>Year-4</c:v>
                </c:pt>
                <c:pt idx="5">
                  <c:v>Year-5</c:v>
                </c:pt>
                <c:pt idx="6">
                  <c:v>Year-6</c:v>
                </c:pt>
                <c:pt idx="7">
                  <c:v>Year-7</c:v>
                </c:pt>
                <c:pt idx="8">
                  <c:v>Year-8</c:v>
                </c:pt>
                <c:pt idx="9">
                  <c:v>Year-9</c:v>
                </c:pt>
              </c:strCache>
            </c:strRef>
          </c:cat>
          <c:val>
            <c:numRef>
              <c:f>'PTE bus companies'!$AK$67:$AT$67</c:f>
              <c:numCache>
                <c:formatCode>0.00%</c:formatCode>
                <c:ptCount val="10"/>
                <c:pt idx="0">
                  <c:v>8.0881326313229349E-2</c:v>
                </c:pt>
                <c:pt idx="1">
                  <c:v>7.4544977127931566E-2</c:v>
                </c:pt>
                <c:pt idx="2">
                  <c:v>5.0285835785770547E-2</c:v>
                </c:pt>
                <c:pt idx="3">
                  <c:v>3.0266800597790137E-2</c:v>
                </c:pt>
                <c:pt idx="4">
                  <c:v>1.0524661471931701E-2</c:v>
                </c:pt>
                <c:pt idx="5">
                  <c:v>1.819255634419262E-3</c:v>
                </c:pt>
                <c:pt idx="6">
                  <c:v>6.0782125350140057E-3</c:v>
                </c:pt>
                <c:pt idx="7">
                  <c:v>4.2520769962809651E-2</c:v>
                </c:pt>
                <c:pt idx="8">
                  <c:v>5.4168231318062338E-2</c:v>
                </c:pt>
                <c:pt idx="9">
                  <c:v>5.4280183445713323E-2</c:v>
                </c:pt>
              </c:numCache>
            </c:numRef>
          </c:val>
          <c:smooth val="0"/>
        </c:ser>
        <c:ser>
          <c:idx val="2"/>
          <c:order val="2"/>
          <c:tx>
            <c:strRef>
              <c:f>'PTE bus companies'!$B$113</c:f>
              <c:strCache>
                <c:ptCount val="1"/>
                <c:pt idx="0">
                  <c:v>Stagecoach average</c:v>
                </c:pt>
              </c:strCache>
            </c:strRef>
          </c:tx>
          <c:marker>
            <c:symbol val="none"/>
          </c:marker>
          <c:cat>
            <c:strRef>
              <c:f>'PTE bus companies'!$II$1:$IR$1</c:f>
              <c:strCache>
                <c:ptCount val="10"/>
                <c:pt idx="0">
                  <c:v>last Year</c:v>
                </c:pt>
                <c:pt idx="1">
                  <c:v>Year-1</c:v>
                </c:pt>
                <c:pt idx="2">
                  <c:v>Year-2</c:v>
                </c:pt>
                <c:pt idx="3">
                  <c:v>Year-3</c:v>
                </c:pt>
                <c:pt idx="4">
                  <c:v>Year-4</c:v>
                </c:pt>
                <c:pt idx="5">
                  <c:v>Year-5</c:v>
                </c:pt>
                <c:pt idx="6">
                  <c:v>Year-6</c:v>
                </c:pt>
                <c:pt idx="7">
                  <c:v>Year-7</c:v>
                </c:pt>
                <c:pt idx="8">
                  <c:v>Year-8</c:v>
                </c:pt>
                <c:pt idx="9">
                  <c:v>Year-9</c:v>
                </c:pt>
              </c:strCache>
            </c:strRef>
          </c:cat>
          <c:val>
            <c:numRef>
              <c:f>'PTE bus companies'!$AK$113:$AT$113</c:f>
              <c:numCache>
                <c:formatCode>0.00%</c:formatCode>
                <c:ptCount val="10"/>
                <c:pt idx="0">
                  <c:v>8.8932712973241068E-2</c:v>
                </c:pt>
                <c:pt idx="1">
                  <c:v>9.549167804102919E-2</c:v>
                </c:pt>
                <c:pt idx="2">
                  <c:v>0.13777259918519805</c:v>
                </c:pt>
                <c:pt idx="3">
                  <c:v>0.15785497844735608</c:v>
                </c:pt>
                <c:pt idx="4">
                  <c:v>8.3549054014142005E-2</c:v>
                </c:pt>
                <c:pt idx="5">
                  <c:v>3.3411099730662724E-2</c:v>
                </c:pt>
                <c:pt idx="6">
                  <c:v>1.8832219858121967E-2</c:v>
                </c:pt>
                <c:pt idx="7">
                  <c:v>4.4326484639853815E-2</c:v>
                </c:pt>
                <c:pt idx="8">
                  <c:v>5.0318879503058904E-2</c:v>
                </c:pt>
                <c:pt idx="9">
                  <c:v>7.5114622217531818E-2</c:v>
                </c:pt>
              </c:numCache>
            </c:numRef>
          </c:val>
          <c:smooth val="0"/>
        </c:ser>
        <c:dLbls>
          <c:showLegendKey val="0"/>
          <c:showVal val="0"/>
          <c:showCatName val="0"/>
          <c:showSerName val="0"/>
          <c:showPercent val="0"/>
          <c:showBubbleSize val="0"/>
        </c:dLbls>
        <c:marker val="1"/>
        <c:smooth val="0"/>
        <c:axId val="241283072"/>
        <c:axId val="241284992"/>
      </c:lineChart>
      <c:catAx>
        <c:axId val="241283072"/>
        <c:scaling>
          <c:orientation val="maxMin"/>
        </c:scaling>
        <c:delete val="0"/>
        <c:axPos val="b"/>
        <c:majorTickMark val="none"/>
        <c:minorTickMark val="none"/>
        <c:tickLblPos val="nextTo"/>
        <c:txPr>
          <a:bodyPr rot="-1860000"/>
          <a:lstStyle/>
          <a:p>
            <a:pPr>
              <a:defRPr/>
            </a:pPr>
            <a:endParaRPr lang="en-US"/>
          </a:p>
        </c:txPr>
        <c:crossAx val="241284992"/>
        <c:crosses val="autoZero"/>
        <c:auto val="1"/>
        <c:lblAlgn val="ctr"/>
        <c:lblOffset val="100"/>
        <c:noMultiLvlLbl val="0"/>
      </c:catAx>
      <c:valAx>
        <c:axId val="241284992"/>
        <c:scaling>
          <c:orientation val="minMax"/>
        </c:scaling>
        <c:delete val="0"/>
        <c:axPos val="r"/>
        <c:majorGridlines/>
        <c:numFmt formatCode="0%" sourceLinked="0"/>
        <c:majorTickMark val="none"/>
        <c:minorTickMark val="none"/>
        <c:tickLblPos val="nextTo"/>
        <c:crossAx val="241283072"/>
        <c:crosses val="autoZero"/>
        <c:crossBetween val="between"/>
      </c:valAx>
    </c:plotArea>
    <c:legend>
      <c:legendPos val="r"/>
      <c:layout>
        <c:manualLayout>
          <c:xMode val="edge"/>
          <c:yMode val="edge"/>
          <c:x val="0.78551954689874293"/>
          <c:y val="0.45502651299022406"/>
          <c:w val="0.20044536538195884"/>
          <c:h val="0.30627532428011717"/>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570048309178744E-2"/>
          <c:y val="4.0059932628181957E-2"/>
          <c:w val="0.87167674692837305"/>
          <c:h val="0.71806832529167397"/>
        </c:manualLayout>
      </c:layout>
      <c:lineChart>
        <c:grouping val="standard"/>
        <c:varyColors val="0"/>
        <c:ser>
          <c:idx val="0"/>
          <c:order val="0"/>
          <c:tx>
            <c:strRef>
              <c:f>'PTE bus companies'!$B$30</c:f>
              <c:strCache>
                <c:ptCount val="1"/>
                <c:pt idx="0">
                  <c:v>Arriva Midlands North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companies'!$AK$31:$AT$31</c:f>
              <c:numCache>
                <c:formatCode>0.00%</c:formatCode>
                <c:ptCount val="10"/>
                <c:pt idx="0">
                  <c:v>9.6660897892700798E-2</c:v>
                </c:pt>
                <c:pt idx="1">
                  <c:v>0.10284605433376455</c:v>
                </c:pt>
                <c:pt idx="2">
                  <c:v>6.8928229369419475E-2</c:v>
                </c:pt>
                <c:pt idx="3">
                  <c:v>6.0149216919472191E-2</c:v>
                </c:pt>
                <c:pt idx="4">
                  <c:v>9.8966309341500761E-2</c:v>
                </c:pt>
                <c:pt idx="5">
                  <c:v>8.7678546664817641E-2</c:v>
                </c:pt>
                <c:pt idx="6">
                  <c:v>3.542870260550178E-2</c:v>
                </c:pt>
                <c:pt idx="7">
                  <c:v>8.6850410267199668E-2</c:v>
                </c:pt>
                <c:pt idx="8">
                  <c:v>6.3277281485373968E-2</c:v>
                </c:pt>
                <c:pt idx="9">
                  <c:v>5.1115565626634128E-2</c:v>
                </c:pt>
              </c:numCache>
            </c:numRef>
          </c:val>
          <c:smooth val="0"/>
        </c:ser>
        <c:ser>
          <c:idx val="1"/>
          <c:order val="1"/>
          <c:tx>
            <c:strRef>
              <c:f>'PTE bus companies'!$B$36</c:f>
              <c:strCache>
                <c:ptCount val="1"/>
                <c:pt idx="0">
                  <c:v>Arriva Yorkshire West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companies'!$AK$37:$AT$37</c:f>
              <c:numCache>
                <c:formatCode>0.00%</c:formatCode>
                <c:ptCount val="10"/>
                <c:pt idx="0">
                  <c:v>0.11565764121285874</c:v>
                </c:pt>
                <c:pt idx="1">
                  <c:v>0.14276988853260039</c:v>
                </c:pt>
                <c:pt idx="2">
                  <c:v>9.5450739603684057E-3</c:v>
                </c:pt>
                <c:pt idx="3">
                  <c:v>3.9401864907891743E-2</c:v>
                </c:pt>
                <c:pt idx="4">
                  <c:v>7.0107277471730942E-2</c:v>
                </c:pt>
                <c:pt idx="5">
                  <c:v>7.1463148977368995E-2</c:v>
                </c:pt>
                <c:pt idx="6">
                  <c:v>4.8382973283906429E-2</c:v>
                </c:pt>
                <c:pt idx="7">
                  <c:v>-4.9726739086431417E-2</c:v>
                </c:pt>
                <c:pt idx="8">
                  <c:v>5.8636453985291194E-2</c:v>
                </c:pt>
                <c:pt idx="9">
                  <c:v>7.8207683320733967E-2</c:v>
                </c:pt>
              </c:numCache>
            </c:numRef>
          </c:val>
          <c:smooth val="0"/>
        </c:ser>
        <c:ser>
          <c:idx val="2"/>
          <c:order val="2"/>
          <c:tx>
            <c:strRef>
              <c:f>'PTE bus companies'!$B$42</c:f>
              <c:strCache>
                <c:ptCount val="1"/>
                <c:pt idx="0">
                  <c:v>Arriva Manchester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companies'!$AK$43:$AT$43</c:f>
              <c:numCache>
                <c:formatCode>0.00%</c:formatCode>
                <c:ptCount val="10"/>
                <c:pt idx="0">
                  <c:v>3.0036779730281977E-2</c:v>
                </c:pt>
                <c:pt idx="1">
                  <c:v>-5.7648546144121363E-2</c:v>
                </c:pt>
                <c:pt idx="2">
                  <c:v>-7.3131182098264955E-2</c:v>
                </c:pt>
                <c:pt idx="3">
                  <c:v>1.1826441102756892E-2</c:v>
                </c:pt>
                <c:pt idx="4">
                  <c:v>-1.7639184187731319E-2</c:v>
                </c:pt>
                <c:pt idx="5">
                  <c:v>-3.2962538851627678E-2</c:v>
                </c:pt>
                <c:pt idx="6">
                  <c:v>1.2097447021525112E-2</c:v>
                </c:pt>
                <c:pt idx="7">
                  <c:v>8.4385586695411144E-2</c:v>
                </c:pt>
                <c:pt idx="8">
                  <c:v>9.7137142142767849E-2</c:v>
                </c:pt>
                <c:pt idx="9">
                  <c:v>0.13484002031488065</c:v>
                </c:pt>
              </c:numCache>
            </c:numRef>
          </c:val>
          <c:smooth val="0"/>
        </c:ser>
        <c:ser>
          <c:idx val="3"/>
          <c:order val="3"/>
          <c:tx>
            <c:strRef>
              <c:f>'PTE bus companies'!$B$48</c:f>
              <c:strCache>
                <c:ptCount val="1"/>
                <c:pt idx="0">
                  <c:v>Arriva Merseyside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companies'!$AK$49:$AT$49</c:f>
              <c:numCache>
                <c:formatCode>0.00%</c:formatCode>
                <c:ptCount val="10"/>
                <c:pt idx="0">
                  <c:v>0.10889323515876669</c:v>
                </c:pt>
                <c:pt idx="1">
                  <c:v>9.5079554638777306E-2</c:v>
                </c:pt>
                <c:pt idx="2">
                  <c:v>9.9260188087774301E-2</c:v>
                </c:pt>
                <c:pt idx="3">
                  <c:v>9.1260786319406192E-2</c:v>
                </c:pt>
                <c:pt idx="4">
                  <c:v>8.4942980302286239E-2</c:v>
                </c:pt>
                <c:pt idx="5">
                  <c:v>5.9435983720896791E-2</c:v>
                </c:pt>
                <c:pt idx="6">
                  <c:v>5.3630685852569956E-2</c:v>
                </c:pt>
                <c:pt idx="7">
                  <c:v>7.1348957481906408E-2</c:v>
                </c:pt>
                <c:pt idx="8">
                  <c:v>8.3960541908208688E-2</c:v>
                </c:pt>
                <c:pt idx="9">
                  <c:v>4.8155202346238768E-2</c:v>
                </c:pt>
              </c:numCache>
            </c:numRef>
          </c:val>
          <c:smooth val="0"/>
        </c:ser>
        <c:ser>
          <c:idx val="4"/>
          <c:order val="4"/>
          <c:tx>
            <c:strRef>
              <c:f>'PTE bus companies'!$B$54</c:f>
              <c:strCache>
                <c:ptCount val="1"/>
                <c:pt idx="0">
                  <c:v>Arriva North West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companies'!$AK$55:$AT$55</c:f>
              <c:numCache>
                <c:formatCode>0.00%</c:formatCode>
                <c:ptCount val="10"/>
                <c:pt idx="0">
                  <c:v>2.6808886120627012E-2</c:v>
                </c:pt>
                <c:pt idx="1">
                  <c:v>5.6039563368011067E-2</c:v>
                </c:pt>
                <c:pt idx="2">
                  <c:v>-9.5230741512881891E-4</c:v>
                </c:pt>
                <c:pt idx="3">
                  <c:v>-5.9457832835970607E-2</c:v>
                </c:pt>
                <c:pt idx="4">
                  <c:v>-0.2418346253229974</c:v>
                </c:pt>
                <c:pt idx="5">
                  <c:v>-0.18824903514117408</c:v>
                </c:pt>
                <c:pt idx="6">
                  <c:v>-0.14607307853842924</c:v>
                </c:pt>
                <c:pt idx="7">
                  <c:v>-8.1610480907493205E-2</c:v>
                </c:pt>
                <c:pt idx="8">
                  <c:v>-4.7007780845494639E-2</c:v>
                </c:pt>
                <c:pt idx="9">
                  <c:v>-1.9597477627157044E-2</c:v>
                </c:pt>
              </c:numCache>
            </c:numRef>
          </c:val>
          <c:smooth val="0"/>
        </c:ser>
        <c:ser>
          <c:idx val="5"/>
          <c:order val="5"/>
          <c:tx>
            <c:strRef>
              <c:f>'PTE bus companies'!$B$60</c:f>
              <c:strCache>
                <c:ptCount val="1"/>
                <c:pt idx="0">
                  <c:v>Arriva Northumbria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companies'!$AK$61:$AT$61</c:f>
              <c:numCache>
                <c:formatCode>0.00%</c:formatCode>
                <c:ptCount val="10"/>
                <c:pt idx="0">
                  <c:v>3.9135913591359137E-2</c:v>
                </c:pt>
                <c:pt idx="1">
                  <c:v>6.6324992463069037E-3</c:v>
                </c:pt>
                <c:pt idx="2">
                  <c:v>3.9933120771444126E-2</c:v>
                </c:pt>
                <c:pt idx="3">
                  <c:v>-4.792941737540736E-2</c:v>
                </c:pt>
                <c:pt idx="4">
                  <c:v>4.6796075975787936E-2</c:v>
                </c:pt>
                <c:pt idx="5">
                  <c:v>1.3796981099433416E-2</c:v>
                </c:pt>
                <c:pt idx="6">
                  <c:v>3.289284096990655E-2</c:v>
                </c:pt>
                <c:pt idx="7">
                  <c:v>0.11846532622076324</c:v>
                </c:pt>
                <c:pt idx="8">
                  <c:v>6.8716247820725426E-2</c:v>
                </c:pt>
                <c:pt idx="9">
                  <c:v>0.11623818940892111</c:v>
                </c:pt>
              </c:numCache>
            </c:numRef>
          </c:val>
          <c:smooth val="0"/>
        </c:ser>
        <c:ser>
          <c:idx val="6"/>
          <c:order val="6"/>
          <c:tx>
            <c:strRef>
              <c:f>'PTE bus companies'!$B$67</c:f>
              <c:strCache>
                <c:ptCount val="1"/>
                <c:pt idx="0">
                  <c:v>Arriva average</c:v>
                </c:pt>
              </c:strCache>
            </c:strRef>
          </c:tx>
          <c:spPr>
            <a:ln w="38100">
              <a:prstDash val="sysDot"/>
            </a:ln>
          </c:spPr>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companies'!$AK$67:$AT$67</c:f>
              <c:numCache>
                <c:formatCode>0.00%</c:formatCode>
                <c:ptCount val="10"/>
                <c:pt idx="0">
                  <c:v>8.0881326313229349E-2</c:v>
                </c:pt>
                <c:pt idx="1">
                  <c:v>7.4544977127931566E-2</c:v>
                </c:pt>
                <c:pt idx="2">
                  <c:v>5.0285835785770547E-2</c:v>
                </c:pt>
                <c:pt idx="3">
                  <c:v>3.0266800597790137E-2</c:v>
                </c:pt>
                <c:pt idx="4">
                  <c:v>1.0524661471931701E-2</c:v>
                </c:pt>
                <c:pt idx="5">
                  <c:v>1.819255634419262E-3</c:v>
                </c:pt>
                <c:pt idx="6">
                  <c:v>6.0782125350140057E-3</c:v>
                </c:pt>
                <c:pt idx="7">
                  <c:v>4.2520769962809651E-2</c:v>
                </c:pt>
                <c:pt idx="8">
                  <c:v>5.4168231318062338E-2</c:v>
                </c:pt>
                <c:pt idx="9">
                  <c:v>5.4280183445713323E-2</c:v>
                </c:pt>
              </c:numCache>
            </c:numRef>
          </c:val>
          <c:smooth val="0"/>
        </c:ser>
        <c:dLbls>
          <c:showLegendKey val="0"/>
          <c:showVal val="0"/>
          <c:showCatName val="0"/>
          <c:showSerName val="0"/>
          <c:showPercent val="0"/>
          <c:showBubbleSize val="0"/>
        </c:dLbls>
        <c:marker val="1"/>
        <c:smooth val="0"/>
        <c:axId val="215123840"/>
        <c:axId val="197251072"/>
      </c:lineChart>
      <c:catAx>
        <c:axId val="215123840"/>
        <c:scaling>
          <c:orientation val="maxMin"/>
        </c:scaling>
        <c:delete val="0"/>
        <c:axPos val="b"/>
        <c:majorTickMark val="none"/>
        <c:minorTickMark val="none"/>
        <c:tickLblPos val="low"/>
        <c:crossAx val="197251072"/>
        <c:crosses val="autoZero"/>
        <c:auto val="1"/>
        <c:lblAlgn val="ctr"/>
        <c:lblOffset val="100"/>
        <c:noMultiLvlLbl val="0"/>
      </c:catAx>
      <c:valAx>
        <c:axId val="197251072"/>
        <c:scaling>
          <c:orientation val="minMax"/>
        </c:scaling>
        <c:delete val="0"/>
        <c:axPos val="r"/>
        <c:majorGridlines/>
        <c:numFmt formatCode="0%" sourceLinked="0"/>
        <c:majorTickMark val="none"/>
        <c:minorTickMark val="none"/>
        <c:tickLblPos val="nextTo"/>
        <c:spPr>
          <a:ln w="9525">
            <a:noFill/>
          </a:ln>
        </c:spPr>
        <c:crossAx val="215123840"/>
        <c:crosses val="autoZero"/>
        <c:crossBetween val="between"/>
      </c:valAx>
    </c:plotArea>
    <c:legend>
      <c:legendPos val="b"/>
      <c:layout>
        <c:manualLayout>
          <c:xMode val="edge"/>
          <c:yMode val="edge"/>
          <c:x val="0.12699094678382594"/>
          <c:y val="0.81149260534050005"/>
          <c:w val="0.74601810643234812"/>
          <c:h val="0.18850739465949989"/>
        </c:manualLayout>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911314984709479E-2"/>
          <c:y val="3.1527825326182056E-2"/>
          <c:w val="0.87736800789809533"/>
          <c:h val="0.73074270607478409"/>
        </c:manualLayout>
      </c:layout>
      <c:lineChart>
        <c:grouping val="standard"/>
        <c:varyColors val="0"/>
        <c:ser>
          <c:idx val="0"/>
          <c:order val="0"/>
          <c:tx>
            <c:strRef>
              <c:f>'PTE bus companies'!$B$69</c:f>
              <c:strCache>
                <c:ptCount val="1"/>
                <c:pt idx="0">
                  <c:v>Midland Red (South)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companies'!$AK$70:$AT$70</c:f>
              <c:numCache>
                <c:formatCode>0.00%</c:formatCode>
                <c:ptCount val="10"/>
                <c:pt idx="0">
                  <c:v>4.1787140300151453E-2</c:v>
                </c:pt>
                <c:pt idx="1">
                  <c:v>0.22204745051776117</c:v>
                </c:pt>
                <c:pt idx="2">
                  <c:v>0.28535108267154202</c:v>
                </c:pt>
                <c:pt idx="3">
                  <c:v>0.29770842854344848</c:v>
                </c:pt>
                <c:pt idx="4">
                  <c:v>0.16791900377464988</c:v>
                </c:pt>
                <c:pt idx="5">
                  <c:v>0.13877713602867955</c:v>
                </c:pt>
                <c:pt idx="6">
                  <c:v>0.1262673634374023</c:v>
                </c:pt>
                <c:pt idx="7">
                  <c:v>5.7514921323928381E-2</c:v>
                </c:pt>
                <c:pt idx="8">
                  <c:v>0.11395596391954731</c:v>
                </c:pt>
                <c:pt idx="9">
                  <c:v>0.12374227714033539</c:v>
                </c:pt>
              </c:numCache>
            </c:numRef>
          </c:val>
          <c:smooth val="0"/>
        </c:ser>
        <c:ser>
          <c:idx val="1"/>
          <c:order val="1"/>
          <c:tx>
            <c:strRef>
              <c:f>'PTE bus companies'!$B$75</c:f>
              <c:strCache>
                <c:ptCount val="1"/>
                <c:pt idx="0">
                  <c:v>Stagecoach (North West)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companies'!$AK$76:$AT$76</c:f>
              <c:numCache>
                <c:formatCode>0.00%</c:formatCode>
                <c:ptCount val="10"/>
                <c:pt idx="0">
                  <c:v>5.7846823291409812E-2</c:v>
                </c:pt>
                <c:pt idx="1">
                  <c:v>5.4330633635064317E-2</c:v>
                </c:pt>
                <c:pt idx="2">
                  <c:v>5.713802880372533E-2</c:v>
                </c:pt>
                <c:pt idx="3">
                  <c:v>9.6488441196808009E-2</c:v>
                </c:pt>
                <c:pt idx="4">
                  <c:v>6.2273887572769179E-2</c:v>
                </c:pt>
                <c:pt idx="5">
                  <c:v>-5.4821567350710997E-3</c:v>
                </c:pt>
                <c:pt idx="6">
                  <c:v>8.7897832748093305E-3</c:v>
                </c:pt>
                <c:pt idx="7">
                  <c:v>4.7174972644981598E-2</c:v>
                </c:pt>
                <c:pt idx="8">
                  <c:v>4.1330619833672519E-2</c:v>
                </c:pt>
                <c:pt idx="9">
                  <c:v>8.6541093333996871E-2</c:v>
                </c:pt>
              </c:numCache>
            </c:numRef>
          </c:val>
          <c:smooth val="0"/>
        </c:ser>
        <c:ser>
          <c:idx val="2"/>
          <c:order val="2"/>
          <c:tx>
            <c:strRef>
              <c:f>'PTE bus companies'!$B$82</c:f>
              <c:strCache>
                <c:ptCount val="1"/>
                <c:pt idx="0">
                  <c:v>East Midland Motor Services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companies'!$AK$83:$AT$83</c:f>
              <c:numCache>
                <c:formatCode>0.00%</c:formatCode>
                <c:ptCount val="10"/>
                <c:pt idx="0">
                  <c:v>0.12549008385084279</c:v>
                </c:pt>
                <c:pt idx="1">
                  <c:v>0.11173277199202304</c:v>
                </c:pt>
                <c:pt idx="2">
                  <c:v>0.1431405505193839</c:v>
                </c:pt>
                <c:pt idx="3">
                  <c:v>0.1385045422781272</c:v>
                </c:pt>
                <c:pt idx="4">
                  <c:v>0.1004873972984264</c:v>
                </c:pt>
                <c:pt idx="5">
                  <c:v>-3.5706170675495831E-4</c:v>
                </c:pt>
                <c:pt idx="6">
                  <c:v>-2.5503310363464395E-2</c:v>
                </c:pt>
                <c:pt idx="7">
                  <c:v>3.8588168655078414E-2</c:v>
                </c:pt>
                <c:pt idx="8">
                  <c:v>1.9754993930029798E-2</c:v>
                </c:pt>
                <c:pt idx="9">
                  <c:v>8.0843906541372634E-2</c:v>
                </c:pt>
              </c:numCache>
            </c:numRef>
          </c:val>
          <c:smooth val="0"/>
        </c:ser>
        <c:ser>
          <c:idx val="3"/>
          <c:order val="3"/>
          <c:tx>
            <c:strRef>
              <c:f>'PTE bus companies'!$B$88</c:f>
              <c:strCache>
                <c:ptCount val="1"/>
                <c:pt idx="0">
                  <c:v>The Yorkshire Traction Company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companies'!$AK$89:$AT$89</c:f>
              <c:numCache>
                <c:formatCode>0.00%</c:formatCode>
                <c:ptCount val="10"/>
                <c:pt idx="0">
                  <c:v>-6.3276274784336756E-2</c:v>
                </c:pt>
                <c:pt idx="1">
                  <c:v>-4.9036460689405592E-2</c:v>
                </c:pt>
                <c:pt idx="2">
                  <c:v>-6.617439373764274E-3</c:v>
                </c:pt>
                <c:pt idx="3">
                  <c:v>7.7661699185742811E-2</c:v>
                </c:pt>
                <c:pt idx="4">
                  <c:v>-6.9081373432762438E-2</c:v>
                </c:pt>
                <c:pt idx="5">
                  <c:v>-0.10999531103469834</c:v>
                </c:pt>
                <c:pt idx="6">
                  <c:v>-0.12590527462667436</c:v>
                </c:pt>
                <c:pt idx="7">
                  <c:v>-2.9660423186510347E-2</c:v>
                </c:pt>
                <c:pt idx="8">
                  <c:v>2.8077753779697623E-2</c:v>
                </c:pt>
                <c:pt idx="9">
                  <c:v>2.2594355043772021E-2</c:v>
                </c:pt>
              </c:numCache>
            </c:numRef>
          </c:val>
          <c:smooth val="0"/>
        </c:ser>
        <c:ser>
          <c:idx val="4"/>
          <c:order val="4"/>
          <c:tx>
            <c:strRef>
              <c:f>'PTE bus companies'!$B$94</c:f>
              <c:strCache>
                <c:ptCount val="1"/>
                <c:pt idx="0">
                  <c:v>Andrews (Sheffield)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companies'!$AK$95:$AT$95</c:f>
              <c:numCache>
                <c:formatCode>0.00%</c:formatCode>
                <c:ptCount val="10"/>
                <c:pt idx="0">
                  <c:v>6.2717121588089328E-2</c:v>
                </c:pt>
                <c:pt idx="1">
                  <c:v>7.1591278880572734E-2</c:v>
                </c:pt>
                <c:pt idx="2">
                  <c:v>4.3886891140895716E-2</c:v>
                </c:pt>
                <c:pt idx="3">
                  <c:v>0.1350629530713468</c:v>
                </c:pt>
                <c:pt idx="4">
                  <c:v>-1.6670183583034397E-2</c:v>
                </c:pt>
                <c:pt idx="5">
                  <c:v>-1.1744583808437856E-2</c:v>
                </c:pt>
                <c:pt idx="6">
                  <c:v>6.3616071428571428E-3</c:v>
                </c:pt>
                <c:pt idx="7">
                  <c:v>-1.5064371434177756E-2</c:v>
                </c:pt>
                <c:pt idx="8">
                  <c:v>3.5846505190214512E-2</c:v>
                </c:pt>
                <c:pt idx="9">
                  <c:v>3.2578151371317469E-2</c:v>
                </c:pt>
              </c:numCache>
            </c:numRef>
          </c:val>
          <c:smooth val="0"/>
        </c:ser>
        <c:ser>
          <c:idx val="5"/>
          <c:order val="5"/>
          <c:tx>
            <c:strRef>
              <c:f>'PTE bus companies'!$B$100</c:f>
              <c:strCache>
                <c:ptCount val="1"/>
                <c:pt idx="0">
                  <c:v>Glenvale Transport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companies'!$AK$101:$AT$101</c:f>
              <c:numCache>
                <c:formatCode>0.00%</c:formatCode>
                <c:ptCount val="10"/>
                <c:pt idx="0">
                  <c:v>1.679705476300046E-2</c:v>
                </c:pt>
                <c:pt idx="1">
                  <c:v>9.7669353082117188E-2</c:v>
                </c:pt>
                <c:pt idx="2">
                  <c:v>4.4838373305526591E-2</c:v>
                </c:pt>
                <c:pt idx="3">
                  <c:v>1.4489170210661656E-2</c:v>
                </c:pt>
                <c:pt idx="4">
                  <c:v>-1.8493867072359036E-2</c:v>
                </c:pt>
                <c:pt idx="5">
                  <c:v>-3.5157217132953701E-2</c:v>
                </c:pt>
                <c:pt idx="6">
                  <c:v>-5.586093493070237E-2</c:v>
                </c:pt>
                <c:pt idx="7">
                  <c:v>-0.16473720052002724</c:v>
                </c:pt>
                <c:pt idx="8">
                  <c:v>-2.7374163153979669E-2</c:v>
                </c:pt>
                <c:pt idx="9">
                  <c:v>9.2557823672751963E-2</c:v>
                </c:pt>
              </c:numCache>
            </c:numRef>
          </c:val>
          <c:smooth val="0"/>
        </c:ser>
        <c:ser>
          <c:idx val="6"/>
          <c:order val="6"/>
          <c:tx>
            <c:strRef>
              <c:f>'PTE bus companies'!$B$106</c:f>
              <c:strCache>
                <c:ptCount val="1"/>
                <c:pt idx="0">
                  <c:v>Busways Travel Services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companies'!$AK$107:$AT$107</c:f>
              <c:numCache>
                <c:formatCode>0.00%</c:formatCode>
                <c:ptCount val="10"/>
                <c:pt idx="0">
                  <c:v>0.22636117773128539</c:v>
                </c:pt>
                <c:pt idx="1">
                  <c:v>9.9922793171484947E-2</c:v>
                </c:pt>
                <c:pt idx="2">
                  <c:v>0.23248917420681056</c:v>
                </c:pt>
                <c:pt idx="3">
                  <c:v>0.24315698178664355</c:v>
                </c:pt>
                <c:pt idx="4">
                  <c:v>0.17151537632699204</c:v>
                </c:pt>
                <c:pt idx="5">
                  <c:v>0.14129899640219656</c:v>
                </c:pt>
                <c:pt idx="6">
                  <c:v>0.13020458722928155</c:v>
                </c:pt>
                <c:pt idx="7">
                  <c:v>0.15397222461830415</c:v>
                </c:pt>
                <c:pt idx="8">
                  <c:v>0.11762825635288476</c:v>
                </c:pt>
                <c:pt idx="9">
                  <c:v>0.10424044734389562</c:v>
                </c:pt>
              </c:numCache>
            </c:numRef>
          </c:val>
          <c:smooth val="0"/>
        </c:ser>
        <c:ser>
          <c:idx val="7"/>
          <c:order val="7"/>
          <c:tx>
            <c:strRef>
              <c:f>'PTE bus companies'!$B$113</c:f>
              <c:strCache>
                <c:ptCount val="1"/>
                <c:pt idx="0">
                  <c:v>Stagecoach average</c:v>
                </c:pt>
              </c:strCache>
            </c:strRef>
          </c:tx>
          <c:spPr>
            <a:ln w="38100">
              <a:prstDash val="sysDot"/>
            </a:ln>
          </c:spPr>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companies'!$AK$113:$AT$113</c:f>
              <c:numCache>
                <c:formatCode>0.00%</c:formatCode>
                <c:ptCount val="10"/>
                <c:pt idx="0">
                  <c:v>8.8932712973241068E-2</c:v>
                </c:pt>
                <c:pt idx="1">
                  <c:v>9.549167804102919E-2</c:v>
                </c:pt>
                <c:pt idx="2">
                  <c:v>0.13777259918519805</c:v>
                </c:pt>
                <c:pt idx="3">
                  <c:v>0.15785497844735608</c:v>
                </c:pt>
                <c:pt idx="4">
                  <c:v>8.3549054014142005E-2</c:v>
                </c:pt>
                <c:pt idx="5">
                  <c:v>3.3411099730662724E-2</c:v>
                </c:pt>
                <c:pt idx="6">
                  <c:v>1.8832219858121967E-2</c:v>
                </c:pt>
                <c:pt idx="7">
                  <c:v>4.4326484639853815E-2</c:v>
                </c:pt>
                <c:pt idx="8">
                  <c:v>5.0318879503058904E-2</c:v>
                </c:pt>
                <c:pt idx="9">
                  <c:v>7.5114622217531818E-2</c:v>
                </c:pt>
              </c:numCache>
            </c:numRef>
          </c:val>
          <c:smooth val="0"/>
        </c:ser>
        <c:dLbls>
          <c:showLegendKey val="0"/>
          <c:showVal val="0"/>
          <c:showCatName val="0"/>
          <c:showSerName val="0"/>
          <c:showPercent val="0"/>
          <c:showBubbleSize val="0"/>
        </c:dLbls>
        <c:marker val="1"/>
        <c:smooth val="0"/>
        <c:axId val="210709888"/>
        <c:axId val="202822784"/>
      </c:lineChart>
      <c:catAx>
        <c:axId val="210709888"/>
        <c:scaling>
          <c:orientation val="maxMin"/>
        </c:scaling>
        <c:delete val="0"/>
        <c:axPos val="b"/>
        <c:majorTickMark val="none"/>
        <c:minorTickMark val="none"/>
        <c:tickLblPos val="low"/>
        <c:crossAx val="202822784"/>
        <c:crosses val="autoZero"/>
        <c:auto val="1"/>
        <c:lblAlgn val="ctr"/>
        <c:lblOffset val="100"/>
        <c:noMultiLvlLbl val="0"/>
      </c:catAx>
      <c:valAx>
        <c:axId val="202822784"/>
        <c:scaling>
          <c:orientation val="minMax"/>
        </c:scaling>
        <c:delete val="0"/>
        <c:axPos val="r"/>
        <c:majorGridlines/>
        <c:numFmt formatCode="0%" sourceLinked="0"/>
        <c:majorTickMark val="none"/>
        <c:minorTickMark val="none"/>
        <c:tickLblPos val="nextTo"/>
        <c:spPr>
          <a:ln w="9525">
            <a:noFill/>
          </a:ln>
        </c:spPr>
        <c:crossAx val="210709888"/>
        <c:crosses val="autoZero"/>
        <c:crossBetween val="between"/>
      </c:valAx>
    </c:plotArea>
    <c:legend>
      <c:legendPos val="b"/>
      <c:layout>
        <c:manualLayout>
          <c:xMode val="edge"/>
          <c:yMode val="edge"/>
          <c:x val="1.0598088083026317E-2"/>
          <c:y val="0.82086157708547303"/>
          <c:w val="0.98858956391918895"/>
          <c:h val="0.17913842291452697"/>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'PTE bus companies'!$B$3</c:f>
              <c:strCache>
                <c:ptCount val="1"/>
                <c:pt idx="0">
                  <c:v>First Midland Red Buses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companies'!$AK$4:$AT$4</c:f>
              <c:numCache>
                <c:formatCode>0.00%</c:formatCode>
                <c:ptCount val="10"/>
                <c:pt idx="0">
                  <c:v>4.1772238581113466E-3</c:v>
                </c:pt>
                <c:pt idx="1">
                  <c:v>3.205870992661259E-2</c:v>
                </c:pt>
                <c:pt idx="2">
                  <c:v>1.3808830050041174E-2</c:v>
                </c:pt>
                <c:pt idx="3">
                  <c:v>-0.1167385557256157</c:v>
                </c:pt>
                <c:pt idx="4">
                  <c:v>-5.3191489361702126E-3</c:v>
                </c:pt>
                <c:pt idx="5">
                  <c:v>3.9482238903008449E-2</c:v>
                </c:pt>
                <c:pt idx="6">
                  <c:v>-3.5443823711980134E-2</c:v>
                </c:pt>
                <c:pt idx="7">
                  <c:v>1.9047619047619049E-2</c:v>
                </c:pt>
                <c:pt idx="8">
                  <c:v>6.3462609018370753E-2</c:v>
                </c:pt>
                <c:pt idx="9">
                  <c:v>0.10069317767238234</c:v>
                </c:pt>
              </c:numCache>
            </c:numRef>
          </c:val>
          <c:smooth val="0"/>
        </c:ser>
        <c:ser>
          <c:idx val="1"/>
          <c:order val="1"/>
          <c:tx>
            <c:strRef>
              <c:f>'PTE bus companies'!$B$9</c:f>
              <c:strCache>
                <c:ptCount val="1"/>
                <c:pt idx="0">
                  <c:v>First West Yorkshire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companies'!$AK$10:$AT$10</c:f>
              <c:numCache>
                <c:formatCode>0.00%</c:formatCode>
                <c:ptCount val="10"/>
                <c:pt idx="0">
                  <c:v>9.8053291990927077E-2</c:v>
                </c:pt>
                <c:pt idx="1">
                  <c:v>0.18717286110643408</c:v>
                </c:pt>
                <c:pt idx="2">
                  <c:v>0.20604927555585231</c:v>
                </c:pt>
                <c:pt idx="3">
                  <c:v>0.15698648418422398</c:v>
                </c:pt>
                <c:pt idx="4">
                  <c:v>0.16054323300268211</c:v>
                </c:pt>
                <c:pt idx="5">
                  <c:v>0.15273873477954492</c:v>
                </c:pt>
                <c:pt idx="6">
                  <c:v>0.13709441220938975</c:v>
                </c:pt>
                <c:pt idx="7">
                  <c:v>0.12888194867769492</c:v>
                </c:pt>
                <c:pt idx="8">
                  <c:v>0.16096523411013997</c:v>
                </c:pt>
                <c:pt idx="9">
                  <c:v>0.17041739345934251</c:v>
                </c:pt>
              </c:numCache>
            </c:numRef>
          </c:val>
          <c:smooth val="0"/>
        </c:ser>
        <c:ser>
          <c:idx val="2"/>
          <c:order val="2"/>
          <c:tx>
            <c:strRef>
              <c:f>'PTE bus companies'!$B$15</c:f>
              <c:strCache>
                <c:ptCount val="1"/>
                <c:pt idx="0">
                  <c:v>First Manchester</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companies'!$AK$16:$AT$16</c:f>
              <c:numCache>
                <c:formatCode>0.00%</c:formatCode>
                <c:ptCount val="10"/>
                <c:pt idx="0">
                  <c:v>3.5057869225442677E-2</c:v>
                </c:pt>
                <c:pt idx="1">
                  <c:v>8.4535390808453542E-2</c:v>
                </c:pt>
                <c:pt idx="2">
                  <c:v>0.16680629700346802</c:v>
                </c:pt>
                <c:pt idx="3">
                  <c:v>0.11909376663285698</c:v>
                </c:pt>
                <c:pt idx="4">
                  <c:v>6.3507591172327432E-2</c:v>
                </c:pt>
                <c:pt idx="5">
                  <c:v>8.8846823500830063E-2</c:v>
                </c:pt>
                <c:pt idx="6">
                  <c:v>6.2050968136860077E-2</c:v>
                </c:pt>
                <c:pt idx="7">
                  <c:v>5.6636988388232508E-2</c:v>
                </c:pt>
                <c:pt idx="8">
                  <c:v>8.713496840953186E-2</c:v>
                </c:pt>
                <c:pt idx="9">
                  <c:v>9.2949813389475985E-2</c:v>
                </c:pt>
              </c:numCache>
            </c:numRef>
          </c:val>
          <c:smooth val="0"/>
        </c:ser>
        <c:ser>
          <c:idx val="3"/>
          <c:order val="3"/>
          <c:tx>
            <c:strRef>
              <c:f>'PTE bus companies'!$B$21</c:f>
              <c:strCache>
                <c:ptCount val="1"/>
                <c:pt idx="0">
                  <c:v>First South Yorkshire Limited</c:v>
                </c:pt>
              </c:strCache>
            </c:strRef>
          </c:tx>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companies'!$AK$22:$AT$22</c:f>
              <c:numCache>
                <c:formatCode>0.00%</c:formatCode>
                <c:ptCount val="10"/>
                <c:pt idx="0">
                  <c:v>-9.1593555591003351E-2</c:v>
                </c:pt>
                <c:pt idx="1">
                  <c:v>3.4301789198263738E-2</c:v>
                </c:pt>
                <c:pt idx="2">
                  <c:v>8.9221172904278889E-2</c:v>
                </c:pt>
                <c:pt idx="3">
                  <c:v>4.982033878971083E-2</c:v>
                </c:pt>
                <c:pt idx="4">
                  <c:v>4.8623738600557999E-2</c:v>
                </c:pt>
                <c:pt idx="5">
                  <c:v>2.5973267962411721E-2</c:v>
                </c:pt>
                <c:pt idx="6">
                  <c:v>-0.20376377160114087</c:v>
                </c:pt>
                <c:pt idx="7">
                  <c:v>8.0743147781859287E-2</c:v>
                </c:pt>
                <c:pt idx="8">
                  <c:v>7.9590574757534338E-2</c:v>
                </c:pt>
                <c:pt idx="9">
                  <c:v>0.17910470879801735</c:v>
                </c:pt>
              </c:numCache>
            </c:numRef>
          </c:val>
          <c:smooth val="0"/>
        </c:ser>
        <c:ser>
          <c:idx val="4"/>
          <c:order val="4"/>
          <c:tx>
            <c:strRef>
              <c:f>'PTE bus companies'!$B$28</c:f>
              <c:strCache>
                <c:ptCount val="1"/>
                <c:pt idx="0">
                  <c:v>First Average</c:v>
                </c:pt>
              </c:strCache>
            </c:strRef>
          </c:tx>
          <c:spPr>
            <a:ln w="38100">
              <a:prstDash val="sysDot"/>
            </a:ln>
          </c:spPr>
          <c:marker>
            <c:symbol val="none"/>
          </c:marker>
          <c:cat>
            <c:strRef>
              <c:f>PTEs!$N$88:$W$88</c:f>
              <c:strCache>
                <c:ptCount val="10"/>
                <c:pt idx="0">
                  <c:v>Last year</c:v>
                </c:pt>
                <c:pt idx="1">
                  <c:v>Year -1</c:v>
                </c:pt>
                <c:pt idx="2">
                  <c:v>year -2</c:v>
                </c:pt>
                <c:pt idx="3">
                  <c:v>year -3</c:v>
                </c:pt>
                <c:pt idx="4">
                  <c:v>year -4</c:v>
                </c:pt>
                <c:pt idx="5">
                  <c:v>year -5</c:v>
                </c:pt>
                <c:pt idx="6">
                  <c:v>year - 6</c:v>
                </c:pt>
                <c:pt idx="7">
                  <c:v>year - 7 </c:v>
                </c:pt>
                <c:pt idx="8">
                  <c:v>year - 8 </c:v>
                </c:pt>
                <c:pt idx="9">
                  <c:v>year - 9</c:v>
                </c:pt>
              </c:strCache>
            </c:strRef>
          </c:cat>
          <c:val>
            <c:numRef>
              <c:f>'PTE bus companies'!$AK$28:$AT$28</c:f>
              <c:numCache>
                <c:formatCode>0.00%</c:formatCode>
                <c:ptCount val="10"/>
                <c:pt idx="0">
                  <c:v>3.4598250366931545E-2</c:v>
                </c:pt>
                <c:pt idx="1">
                  <c:v>0.11461843062416489</c:v>
                </c:pt>
                <c:pt idx="2">
                  <c:v>0.15919626656061248</c:v>
                </c:pt>
                <c:pt idx="3">
                  <c:v>0.1101383268452555</c:v>
                </c:pt>
                <c:pt idx="4">
                  <c:v>9.8066285852085183E-2</c:v>
                </c:pt>
                <c:pt idx="5">
                  <c:v>9.9245452475523063E-2</c:v>
                </c:pt>
                <c:pt idx="6">
                  <c:v>2.5895532108896703E-2</c:v>
                </c:pt>
                <c:pt idx="7">
                  <c:v>8.9601732480628027E-2</c:v>
                </c:pt>
                <c:pt idx="8">
                  <c:v>0.11386749772287588</c:v>
                </c:pt>
                <c:pt idx="9">
                  <c:v>0.14628318652389738</c:v>
                </c:pt>
              </c:numCache>
            </c:numRef>
          </c:val>
          <c:smooth val="0"/>
        </c:ser>
        <c:dLbls>
          <c:showLegendKey val="0"/>
          <c:showVal val="0"/>
          <c:showCatName val="0"/>
          <c:showSerName val="0"/>
          <c:showPercent val="0"/>
          <c:showBubbleSize val="0"/>
        </c:dLbls>
        <c:marker val="1"/>
        <c:smooth val="0"/>
        <c:axId val="202547200"/>
        <c:axId val="202548736"/>
      </c:lineChart>
      <c:catAx>
        <c:axId val="202547200"/>
        <c:scaling>
          <c:orientation val="maxMin"/>
        </c:scaling>
        <c:delete val="0"/>
        <c:axPos val="b"/>
        <c:majorTickMark val="none"/>
        <c:minorTickMark val="none"/>
        <c:tickLblPos val="low"/>
        <c:crossAx val="202548736"/>
        <c:crosses val="autoZero"/>
        <c:auto val="1"/>
        <c:lblAlgn val="ctr"/>
        <c:lblOffset val="100"/>
        <c:noMultiLvlLbl val="0"/>
      </c:catAx>
      <c:valAx>
        <c:axId val="202548736"/>
        <c:scaling>
          <c:orientation val="minMax"/>
        </c:scaling>
        <c:delete val="0"/>
        <c:axPos val="r"/>
        <c:majorGridlines/>
        <c:numFmt formatCode="0%" sourceLinked="0"/>
        <c:majorTickMark val="none"/>
        <c:minorTickMark val="none"/>
        <c:tickLblPos val="nextTo"/>
        <c:spPr>
          <a:ln w="9525">
            <a:noFill/>
          </a:ln>
        </c:spPr>
        <c:crossAx val="20254720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PTEs!$AA$87</c:f>
              <c:strCache>
                <c:ptCount val="1"/>
                <c:pt idx="0">
                  <c:v>Previous 5</c:v>
                </c:pt>
              </c:strCache>
            </c:strRef>
          </c:tx>
          <c:invertIfNegative val="0"/>
          <c:dLbls>
            <c:dLbl>
              <c:idx val="2"/>
              <c:layout>
                <c:manualLayout>
                  <c:x val="7.2859744990892532E-3"/>
                  <c:y val="-4.9566294919454773E-2"/>
                </c:manualLayout>
              </c:layout>
              <c:showLegendKey val="0"/>
              <c:showVal val="1"/>
              <c:showCatName val="0"/>
              <c:showSerName val="0"/>
              <c:showPercent val="0"/>
              <c:showBubbleSize val="0"/>
            </c:dLbl>
            <c:dLbl>
              <c:idx val="3"/>
              <c:layout>
                <c:manualLayout>
                  <c:x val="0"/>
                  <c:y val="-1.8912529550827423E-2"/>
                </c:manualLayout>
              </c:layout>
              <c:showLegendKey val="0"/>
              <c:showVal val="1"/>
              <c:showCatName val="0"/>
              <c:showSerName val="0"/>
              <c:showPercent val="0"/>
              <c:showBubbleSize val="0"/>
            </c:dLbl>
            <c:dLbl>
              <c:idx val="5"/>
              <c:layout>
                <c:manualLayout>
                  <c:x val="-7.2859744990892532E-3"/>
                  <c:y val="1.9826517967781909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PTEs!$AB$86:$AG$86</c:f>
              <c:strCache>
                <c:ptCount val="6"/>
                <c:pt idx="0">
                  <c:v>EBITDA</c:v>
                </c:pt>
                <c:pt idx="1">
                  <c:v>operating profits</c:v>
                </c:pt>
                <c:pt idx="2">
                  <c:v>p/l before tax</c:v>
                </c:pt>
                <c:pt idx="3">
                  <c:v>p/l after tax</c:v>
                </c:pt>
                <c:pt idx="4">
                  <c:v>Dividends</c:v>
                </c:pt>
                <c:pt idx="5">
                  <c:v>Retained profit</c:v>
                </c:pt>
              </c:strCache>
            </c:strRef>
          </c:cat>
          <c:val>
            <c:numRef>
              <c:f>PTEs!$AB$87:$AG$87</c:f>
              <c:numCache>
                <c:formatCode>0.00%</c:formatCode>
                <c:ptCount val="6"/>
                <c:pt idx="0">
                  <c:v>0.13254372713770629</c:v>
                </c:pt>
                <c:pt idx="1">
                  <c:v>7.2899379822912364E-2</c:v>
                </c:pt>
                <c:pt idx="2">
                  <c:v>0.11401809127388106</c:v>
                </c:pt>
                <c:pt idx="3">
                  <c:v>9.2169180709126927E-2</c:v>
                </c:pt>
                <c:pt idx="4">
                  <c:v>9.5925263079799913E-2</c:v>
                </c:pt>
                <c:pt idx="5">
                  <c:v>-3.7560823706729763E-3</c:v>
                </c:pt>
              </c:numCache>
            </c:numRef>
          </c:val>
        </c:ser>
        <c:ser>
          <c:idx val="1"/>
          <c:order val="1"/>
          <c:tx>
            <c:strRef>
              <c:f>PTEs!$AA$88</c:f>
              <c:strCache>
                <c:ptCount val="1"/>
                <c:pt idx="0">
                  <c:v>Last 5</c:v>
                </c:pt>
              </c:strCache>
            </c:strRef>
          </c:tx>
          <c:invertIfNegative val="0"/>
          <c:dLbls>
            <c:dLbl>
              <c:idx val="0"/>
              <c:layout>
                <c:manualLayout>
                  <c:x val="4.8573163327261691E-3"/>
                  <c:y val="-1.4869888475836431E-2"/>
                </c:manualLayout>
              </c:layout>
              <c:showLegendKey val="0"/>
              <c:showVal val="1"/>
              <c:showCatName val="0"/>
              <c:showSerName val="0"/>
              <c:showPercent val="0"/>
              <c:showBubbleSize val="0"/>
            </c:dLbl>
            <c:dLbl>
              <c:idx val="5"/>
              <c:layout>
                <c:manualLayout>
                  <c:x val="7.4601876951173457E-3"/>
                  <c:y val="7.1566704719530872E-3"/>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PTEs!$AB$86:$AG$86</c:f>
              <c:strCache>
                <c:ptCount val="6"/>
                <c:pt idx="0">
                  <c:v>EBITDA</c:v>
                </c:pt>
                <c:pt idx="1">
                  <c:v>operating profits</c:v>
                </c:pt>
                <c:pt idx="2">
                  <c:v>p/l before tax</c:v>
                </c:pt>
                <c:pt idx="3">
                  <c:v>p/l after tax</c:v>
                </c:pt>
                <c:pt idx="4">
                  <c:v>Dividends</c:v>
                </c:pt>
                <c:pt idx="5">
                  <c:v>Retained profit</c:v>
                </c:pt>
              </c:strCache>
            </c:strRef>
          </c:cat>
          <c:val>
            <c:numRef>
              <c:f>PTEs!$AB$88:$AG$88</c:f>
              <c:numCache>
                <c:formatCode>0.00%</c:formatCode>
                <c:ptCount val="6"/>
                <c:pt idx="0">
                  <c:v>0.15054517064861556</c:v>
                </c:pt>
                <c:pt idx="1">
                  <c:v>9.4080903868798055E-2</c:v>
                </c:pt>
                <c:pt idx="2">
                  <c:v>0.11013072590413824</c:v>
                </c:pt>
                <c:pt idx="3">
                  <c:v>8.524889768180488E-2</c:v>
                </c:pt>
                <c:pt idx="4">
                  <c:v>5.8975160405502214E-2</c:v>
                </c:pt>
                <c:pt idx="5">
                  <c:v>2.6273765270544817E-2</c:v>
                </c:pt>
              </c:numCache>
            </c:numRef>
          </c:val>
        </c:ser>
        <c:dLbls>
          <c:showLegendKey val="0"/>
          <c:showVal val="0"/>
          <c:showCatName val="0"/>
          <c:showSerName val="0"/>
          <c:showPercent val="0"/>
          <c:showBubbleSize val="0"/>
        </c:dLbls>
        <c:gapWidth val="150"/>
        <c:axId val="193180032"/>
        <c:axId val="193181568"/>
      </c:barChart>
      <c:catAx>
        <c:axId val="193180032"/>
        <c:scaling>
          <c:orientation val="minMax"/>
        </c:scaling>
        <c:delete val="0"/>
        <c:axPos val="b"/>
        <c:majorTickMark val="none"/>
        <c:minorTickMark val="none"/>
        <c:tickLblPos val="low"/>
        <c:crossAx val="193181568"/>
        <c:crosses val="autoZero"/>
        <c:auto val="1"/>
        <c:lblAlgn val="ctr"/>
        <c:lblOffset val="100"/>
        <c:noMultiLvlLbl val="0"/>
      </c:catAx>
      <c:valAx>
        <c:axId val="193181568"/>
        <c:scaling>
          <c:orientation val="minMax"/>
          <c:max val="0.25"/>
        </c:scaling>
        <c:delete val="0"/>
        <c:axPos val="l"/>
        <c:majorGridlines/>
        <c:numFmt formatCode="0.00%" sourceLinked="1"/>
        <c:majorTickMark val="none"/>
        <c:minorTickMark val="none"/>
        <c:tickLblPos val="nextTo"/>
        <c:crossAx val="1931800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PTEs!$AL$88</c:f>
              <c:strCache>
                <c:ptCount val="1"/>
                <c:pt idx="0">
                  <c:v>Previous 5</c:v>
                </c:pt>
              </c:strCache>
            </c:strRef>
          </c:tx>
          <c:invertIfNegative val="0"/>
          <c:dLbls>
            <c:numFmt formatCode="0.0%" sourceLinked="0"/>
            <c:showLegendKey val="0"/>
            <c:showVal val="1"/>
            <c:showCatName val="0"/>
            <c:showSerName val="0"/>
            <c:showPercent val="0"/>
            <c:showBubbleSize val="0"/>
            <c:showLeaderLines val="0"/>
          </c:dLbls>
          <c:cat>
            <c:strRef>
              <c:f>PTEs!$AM$87:$AR$87</c:f>
              <c:strCache>
                <c:ptCount val="6"/>
                <c:pt idx="0">
                  <c:v>EBITDA</c:v>
                </c:pt>
                <c:pt idx="1">
                  <c:v>operating profits</c:v>
                </c:pt>
                <c:pt idx="2">
                  <c:v>p/l before tax</c:v>
                </c:pt>
                <c:pt idx="3">
                  <c:v>p/l after tax</c:v>
                </c:pt>
                <c:pt idx="4">
                  <c:v>Dividends</c:v>
                </c:pt>
                <c:pt idx="5">
                  <c:v>Retained profit</c:v>
                </c:pt>
              </c:strCache>
            </c:strRef>
          </c:cat>
          <c:val>
            <c:numRef>
              <c:f>PTEs!$AM$88:$AR$88</c:f>
              <c:numCache>
                <c:formatCode>0.00%</c:formatCode>
                <c:ptCount val="6"/>
                <c:pt idx="0">
                  <c:v>0.16593484808288178</c:v>
                </c:pt>
                <c:pt idx="1">
                  <c:v>0.11682992361673243</c:v>
                </c:pt>
                <c:pt idx="2">
                  <c:v>0.12492081795717025</c:v>
                </c:pt>
                <c:pt idx="3">
                  <c:v>9.6072258401137242E-2</c:v>
                </c:pt>
                <c:pt idx="4">
                  <c:v>7.8889659877802679E-2</c:v>
                </c:pt>
                <c:pt idx="5">
                  <c:v>1.7182598523334553E-2</c:v>
                </c:pt>
              </c:numCache>
            </c:numRef>
          </c:val>
        </c:ser>
        <c:ser>
          <c:idx val="1"/>
          <c:order val="1"/>
          <c:tx>
            <c:strRef>
              <c:f>PTEs!$AL$89</c:f>
              <c:strCache>
                <c:ptCount val="1"/>
                <c:pt idx="0">
                  <c:v>Last 5</c:v>
                </c:pt>
              </c:strCache>
            </c:strRef>
          </c:tx>
          <c:invertIfNegative val="0"/>
          <c:dLbls>
            <c:dLbl>
              <c:idx val="5"/>
              <c:layout>
                <c:manualLayout>
                  <c:x val="2.5839793281652798E-3"/>
                  <c:y val="-3.2786885245901641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PTEs!$AM$87:$AR$87</c:f>
              <c:strCache>
                <c:ptCount val="6"/>
                <c:pt idx="0">
                  <c:v>EBITDA</c:v>
                </c:pt>
                <c:pt idx="1">
                  <c:v>operating profits</c:v>
                </c:pt>
                <c:pt idx="2">
                  <c:v>p/l before tax</c:v>
                </c:pt>
                <c:pt idx="3">
                  <c:v>p/l after tax</c:v>
                </c:pt>
                <c:pt idx="4">
                  <c:v>Dividends</c:v>
                </c:pt>
                <c:pt idx="5">
                  <c:v>Retained profit</c:v>
                </c:pt>
              </c:strCache>
            </c:strRef>
          </c:cat>
          <c:val>
            <c:numRef>
              <c:f>PTEs!$AM$89:$AR$89</c:f>
              <c:numCache>
                <c:formatCode>0.00%</c:formatCode>
                <c:ptCount val="6"/>
                <c:pt idx="0">
                  <c:v>0.14506082091677058</c:v>
                </c:pt>
                <c:pt idx="1">
                  <c:v>9.0268537102095703E-2</c:v>
                </c:pt>
                <c:pt idx="2">
                  <c:v>9.1911811704438351E-2</c:v>
                </c:pt>
                <c:pt idx="3">
                  <c:v>7.1979843737833782E-2</c:v>
                </c:pt>
                <c:pt idx="4">
                  <c:v>4.9827595624287457E-2</c:v>
                </c:pt>
                <c:pt idx="5">
                  <c:v>2.2152248113546325E-2</c:v>
                </c:pt>
              </c:numCache>
            </c:numRef>
          </c:val>
        </c:ser>
        <c:dLbls>
          <c:showLegendKey val="0"/>
          <c:showVal val="0"/>
          <c:showCatName val="0"/>
          <c:showSerName val="0"/>
          <c:showPercent val="0"/>
          <c:showBubbleSize val="0"/>
        </c:dLbls>
        <c:gapWidth val="150"/>
        <c:axId val="192989056"/>
        <c:axId val="194544384"/>
      </c:barChart>
      <c:catAx>
        <c:axId val="192989056"/>
        <c:scaling>
          <c:orientation val="minMax"/>
        </c:scaling>
        <c:delete val="0"/>
        <c:axPos val="b"/>
        <c:majorTickMark val="none"/>
        <c:minorTickMark val="none"/>
        <c:tickLblPos val="nextTo"/>
        <c:crossAx val="194544384"/>
        <c:crosses val="autoZero"/>
        <c:auto val="1"/>
        <c:lblAlgn val="ctr"/>
        <c:lblOffset val="100"/>
        <c:noMultiLvlLbl val="0"/>
      </c:catAx>
      <c:valAx>
        <c:axId val="194544384"/>
        <c:scaling>
          <c:orientation val="minMax"/>
          <c:max val="0.25"/>
        </c:scaling>
        <c:delete val="0"/>
        <c:axPos val="l"/>
        <c:majorGridlines/>
        <c:numFmt formatCode="0%" sourceLinked="0"/>
        <c:majorTickMark val="none"/>
        <c:minorTickMark val="none"/>
        <c:tickLblPos val="nextTo"/>
        <c:crossAx val="1929890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PTEs!$AL$88</c:f>
              <c:strCache>
                <c:ptCount val="1"/>
                <c:pt idx="0">
                  <c:v>Previous 5</c:v>
                </c:pt>
              </c:strCache>
            </c:strRef>
          </c:tx>
          <c:invertIfNegative val="0"/>
          <c:dLbls>
            <c:numFmt formatCode="0.0%" sourceLinked="0"/>
            <c:showLegendKey val="0"/>
            <c:showVal val="1"/>
            <c:showCatName val="0"/>
            <c:showSerName val="0"/>
            <c:showPercent val="0"/>
            <c:showBubbleSize val="0"/>
            <c:showLeaderLines val="0"/>
          </c:dLbls>
          <c:cat>
            <c:strRef>
              <c:f>PTEs!$AS$87:$AX$87</c:f>
              <c:strCache>
                <c:ptCount val="6"/>
                <c:pt idx="0">
                  <c:v>EBITDA</c:v>
                </c:pt>
                <c:pt idx="1">
                  <c:v>operating profits</c:v>
                </c:pt>
                <c:pt idx="2">
                  <c:v>p/l before tax</c:v>
                </c:pt>
                <c:pt idx="3">
                  <c:v>p/l after tax</c:v>
                </c:pt>
                <c:pt idx="4">
                  <c:v>Dividends</c:v>
                </c:pt>
                <c:pt idx="5">
                  <c:v>retained profit</c:v>
                </c:pt>
              </c:strCache>
            </c:strRef>
          </c:cat>
          <c:val>
            <c:numRef>
              <c:f>PTEs!$AS$88:$AX$88</c:f>
              <c:numCache>
                <c:formatCode>0.00%</c:formatCode>
                <c:ptCount val="6"/>
                <c:pt idx="0">
                  <c:v>6.8830375824372847E-2</c:v>
                </c:pt>
                <c:pt idx="1">
                  <c:v>1.5645958183851004E-3</c:v>
                </c:pt>
                <c:pt idx="2">
                  <c:v>3.8377421106313016E-2</c:v>
                </c:pt>
                <c:pt idx="3">
                  <c:v>4.4415915237810105E-2</c:v>
                </c:pt>
                <c:pt idx="4">
                  <c:v>5.8268931186538725E-2</c:v>
                </c:pt>
                <c:pt idx="5">
                  <c:v>-1.3853015948728618E-2</c:v>
                </c:pt>
              </c:numCache>
            </c:numRef>
          </c:val>
        </c:ser>
        <c:ser>
          <c:idx val="1"/>
          <c:order val="1"/>
          <c:tx>
            <c:strRef>
              <c:f>PTEs!$AL$89</c:f>
              <c:strCache>
                <c:ptCount val="1"/>
                <c:pt idx="0">
                  <c:v>Last 5</c:v>
                </c:pt>
              </c:strCache>
            </c:strRef>
          </c:tx>
          <c:invertIfNegative val="0"/>
          <c:dLbls>
            <c:dLbl>
              <c:idx val="3"/>
              <c:layout>
                <c:manualLayout>
                  <c:x val="2.4829298572315332E-3"/>
                  <c:y val="-1.9184652278177457E-2"/>
                </c:manualLayout>
              </c:layout>
              <c:showLegendKey val="0"/>
              <c:showVal val="1"/>
              <c:showCatName val="0"/>
              <c:showSerName val="0"/>
              <c:showPercent val="0"/>
              <c:showBubbleSize val="0"/>
            </c:dLbl>
            <c:dLbl>
              <c:idx val="5"/>
              <c:layout>
                <c:manualLayout>
                  <c:x val="2.7777777777777779E-3"/>
                  <c:y val="2.7778142315543892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PTEs!$AS$87:$AX$87</c:f>
              <c:strCache>
                <c:ptCount val="6"/>
                <c:pt idx="0">
                  <c:v>EBITDA</c:v>
                </c:pt>
                <c:pt idx="1">
                  <c:v>operating profits</c:v>
                </c:pt>
                <c:pt idx="2">
                  <c:v>p/l before tax</c:v>
                </c:pt>
                <c:pt idx="3">
                  <c:v>p/l after tax</c:v>
                </c:pt>
                <c:pt idx="4">
                  <c:v>Dividends</c:v>
                </c:pt>
                <c:pt idx="5">
                  <c:v>retained profit</c:v>
                </c:pt>
              </c:strCache>
            </c:strRef>
          </c:cat>
          <c:val>
            <c:numRef>
              <c:f>PTEs!$AS$89:$AX$89</c:f>
              <c:numCache>
                <c:formatCode>0.00%</c:formatCode>
                <c:ptCount val="6"/>
                <c:pt idx="0">
                  <c:v>8.772310291649657E-2</c:v>
                </c:pt>
                <c:pt idx="1">
                  <c:v>4.7387399646210367E-2</c:v>
                </c:pt>
                <c:pt idx="2">
                  <c:v>6.581819521930421E-2</c:v>
                </c:pt>
                <c:pt idx="3">
                  <c:v>4.6352678368939082E-2</c:v>
                </c:pt>
                <c:pt idx="4">
                  <c:v>0</c:v>
                </c:pt>
                <c:pt idx="5">
                  <c:v>4.6352678368939082E-2</c:v>
                </c:pt>
              </c:numCache>
            </c:numRef>
          </c:val>
        </c:ser>
        <c:dLbls>
          <c:showLegendKey val="0"/>
          <c:showVal val="0"/>
          <c:showCatName val="0"/>
          <c:showSerName val="0"/>
          <c:showPercent val="0"/>
          <c:showBubbleSize val="0"/>
        </c:dLbls>
        <c:gapWidth val="150"/>
        <c:axId val="213732736"/>
        <c:axId val="213828736"/>
      </c:barChart>
      <c:catAx>
        <c:axId val="213732736"/>
        <c:scaling>
          <c:orientation val="minMax"/>
        </c:scaling>
        <c:delete val="0"/>
        <c:axPos val="b"/>
        <c:majorTickMark val="none"/>
        <c:minorTickMark val="none"/>
        <c:tickLblPos val="low"/>
        <c:crossAx val="213828736"/>
        <c:crosses val="autoZero"/>
        <c:auto val="1"/>
        <c:lblAlgn val="ctr"/>
        <c:lblOffset val="100"/>
        <c:noMultiLvlLbl val="0"/>
      </c:catAx>
      <c:valAx>
        <c:axId val="213828736"/>
        <c:scaling>
          <c:orientation val="minMax"/>
          <c:max val="0.25"/>
        </c:scaling>
        <c:delete val="0"/>
        <c:axPos val="l"/>
        <c:majorGridlines/>
        <c:numFmt formatCode="0%" sourceLinked="0"/>
        <c:majorTickMark val="none"/>
        <c:minorTickMark val="none"/>
        <c:tickLblPos val="nextTo"/>
        <c:crossAx val="21373273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405074365704281E-2"/>
          <c:y val="5.1400554097404488E-2"/>
          <c:w val="0.69651224846894133"/>
          <c:h val="0.77611475648877226"/>
        </c:manualLayout>
      </c:layout>
      <c:barChart>
        <c:barDir val="col"/>
        <c:grouping val="clustered"/>
        <c:varyColors val="0"/>
        <c:ser>
          <c:idx val="0"/>
          <c:order val="0"/>
          <c:tx>
            <c:strRef>
              <c:f>PTEs!$AL$90</c:f>
              <c:strCache>
                <c:ptCount val="1"/>
                <c:pt idx="0">
                  <c:v>Previous 5</c:v>
                </c:pt>
              </c:strCache>
            </c:strRef>
          </c:tx>
          <c:invertIfNegative val="0"/>
          <c:dLbls>
            <c:dLbl>
              <c:idx val="5"/>
              <c:layout>
                <c:manualLayout>
                  <c:x val="0"/>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PTEs!$AY$89:$BD$89</c:f>
              <c:strCache>
                <c:ptCount val="6"/>
                <c:pt idx="0">
                  <c:v>EBITDA</c:v>
                </c:pt>
                <c:pt idx="1">
                  <c:v>operating profits</c:v>
                </c:pt>
                <c:pt idx="2">
                  <c:v>p/l before tax</c:v>
                </c:pt>
                <c:pt idx="3">
                  <c:v>p/l after tax</c:v>
                </c:pt>
                <c:pt idx="4">
                  <c:v>Dividends</c:v>
                </c:pt>
                <c:pt idx="5">
                  <c:v>Retained Profit</c:v>
                </c:pt>
              </c:strCache>
            </c:strRef>
          </c:cat>
          <c:val>
            <c:numRef>
              <c:f>PTEs!$AY$90:$BD$90</c:f>
              <c:numCache>
                <c:formatCode>0.0%</c:formatCode>
                <c:ptCount val="6"/>
                <c:pt idx="0">
                  <c:v>0.14759168588481725</c:v>
                </c:pt>
                <c:pt idx="1">
                  <c:v>8.0404536658583603E-2</c:v>
                </c:pt>
                <c:pt idx="2">
                  <c:v>0.21586420451699206</c:v>
                </c:pt>
                <c:pt idx="3">
                  <c:v>0.19296383771779282</c:v>
                </c:pt>
                <c:pt idx="4">
                  <c:v>0.18187080578937898</c:v>
                </c:pt>
                <c:pt idx="5">
                  <c:v>1.1093031928413858E-2</c:v>
                </c:pt>
              </c:numCache>
            </c:numRef>
          </c:val>
        </c:ser>
        <c:ser>
          <c:idx val="1"/>
          <c:order val="1"/>
          <c:tx>
            <c:strRef>
              <c:f>PTEs!$AL$91</c:f>
              <c:strCache>
                <c:ptCount val="1"/>
                <c:pt idx="0">
                  <c:v>Last 5</c:v>
                </c:pt>
              </c:strCache>
            </c:strRef>
          </c:tx>
          <c:invertIfNegative val="0"/>
          <c:dLbls>
            <c:dLbl>
              <c:idx val="5"/>
              <c:layout>
                <c:manualLayout>
                  <c:x val="1.9444444444444445E-2"/>
                  <c:y val="1.388888888888888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PTEs!$AY$89:$BD$89</c:f>
              <c:strCache>
                <c:ptCount val="6"/>
                <c:pt idx="0">
                  <c:v>EBITDA</c:v>
                </c:pt>
                <c:pt idx="1">
                  <c:v>operating profits</c:v>
                </c:pt>
                <c:pt idx="2">
                  <c:v>p/l before tax</c:v>
                </c:pt>
                <c:pt idx="3">
                  <c:v>p/l after tax</c:v>
                </c:pt>
                <c:pt idx="4">
                  <c:v>Dividends</c:v>
                </c:pt>
                <c:pt idx="5">
                  <c:v>Retained Profit</c:v>
                </c:pt>
              </c:strCache>
            </c:strRef>
          </c:cat>
          <c:val>
            <c:numRef>
              <c:f>PTEs!$AY$91:$BD$91</c:f>
              <c:numCache>
                <c:formatCode>0.0%</c:formatCode>
                <c:ptCount val="6"/>
                <c:pt idx="0">
                  <c:v>0.15904284469878335</c:v>
                </c:pt>
                <c:pt idx="1">
                  <c:v>0.103976417244025</c:v>
                </c:pt>
                <c:pt idx="2">
                  <c:v>0.1084334459305928</c:v>
                </c:pt>
                <c:pt idx="3">
                  <c:v>8.1873929170969209E-2</c:v>
                </c:pt>
                <c:pt idx="4">
                  <c:v>7.277894121971229E-2</c:v>
                </c:pt>
                <c:pt idx="5">
                  <c:v>9.0950432707250419E-3</c:v>
                </c:pt>
              </c:numCache>
            </c:numRef>
          </c:val>
        </c:ser>
        <c:dLbls>
          <c:showLegendKey val="0"/>
          <c:showVal val="0"/>
          <c:showCatName val="0"/>
          <c:showSerName val="0"/>
          <c:showPercent val="0"/>
          <c:showBubbleSize val="0"/>
        </c:dLbls>
        <c:gapWidth val="150"/>
        <c:axId val="188159488"/>
        <c:axId val="188166912"/>
      </c:barChart>
      <c:catAx>
        <c:axId val="188159488"/>
        <c:scaling>
          <c:orientation val="minMax"/>
        </c:scaling>
        <c:delete val="0"/>
        <c:axPos val="b"/>
        <c:majorTickMark val="out"/>
        <c:minorTickMark val="none"/>
        <c:tickLblPos val="nextTo"/>
        <c:crossAx val="188166912"/>
        <c:crosses val="autoZero"/>
        <c:auto val="1"/>
        <c:lblAlgn val="ctr"/>
        <c:lblOffset val="100"/>
        <c:noMultiLvlLbl val="0"/>
      </c:catAx>
      <c:valAx>
        <c:axId val="188166912"/>
        <c:scaling>
          <c:orientation val="minMax"/>
        </c:scaling>
        <c:delete val="0"/>
        <c:axPos val="l"/>
        <c:majorGridlines/>
        <c:numFmt formatCode="0%" sourceLinked="0"/>
        <c:majorTickMark val="out"/>
        <c:minorTickMark val="none"/>
        <c:tickLblPos val="nextTo"/>
        <c:crossAx val="18815948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PTEs!$AL$88</c:f>
              <c:strCache>
                <c:ptCount val="1"/>
                <c:pt idx="0">
                  <c:v>Previous 5</c:v>
                </c:pt>
              </c:strCache>
            </c:strRef>
          </c:tx>
          <c:invertIfNegative val="0"/>
          <c:dLbls>
            <c:dLbl>
              <c:idx val="4"/>
              <c:layout>
                <c:manualLayout>
                  <c:x val="-7.3800738007380072E-3"/>
                  <c:y val="-8.9786756453423128E-3"/>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PTEs!$BE$87:$BJ$87</c:f>
              <c:strCache>
                <c:ptCount val="6"/>
                <c:pt idx="0">
                  <c:v>EBITDA</c:v>
                </c:pt>
                <c:pt idx="1">
                  <c:v>operating profits</c:v>
                </c:pt>
                <c:pt idx="2">
                  <c:v>p/l before tax</c:v>
                </c:pt>
                <c:pt idx="3">
                  <c:v>p/l after tax</c:v>
                </c:pt>
                <c:pt idx="4">
                  <c:v>Dividends</c:v>
                </c:pt>
                <c:pt idx="5">
                  <c:v>Retained Profit</c:v>
                </c:pt>
              </c:strCache>
            </c:strRef>
          </c:cat>
          <c:val>
            <c:numRef>
              <c:f>PTEs!$BE$88:$BJ$88</c:f>
              <c:numCache>
                <c:formatCode>0.00%</c:formatCode>
                <c:ptCount val="6"/>
                <c:pt idx="0">
                  <c:v>8.0668306372237986E-2</c:v>
                </c:pt>
                <c:pt idx="1">
                  <c:v>1.157376894396837E-2</c:v>
                </c:pt>
                <c:pt idx="2">
                  <c:v>5.1699530260996121E-2</c:v>
                </c:pt>
                <c:pt idx="3">
                  <c:v>4.2295583214693018E-2</c:v>
                </c:pt>
                <c:pt idx="4">
                  <c:v>7.8931706515800865E-2</c:v>
                </c:pt>
                <c:pt idx="5">
                  <c:v>-3.6636123301107847E-2</c:v>
                </c:pt>
              </c:numCache>
            </c:numRef>
          </c:val>
        </c:ser>
        <c:ser>
          <c:idx val="1"/>
          <c:order val="1"/>
          <c:tx>
            <c:strRef>
              <c:f>PTEs!$AL$89</c:f>
              <c:strCache>
                <c:ptCount val="1"/>
                <c:pt idx="0">
                  <c:v>Last 5</c:v>
                </c:pt>
              </c:strCache>
            </c:strRef>
          </c:tx>
          <c:invertIfNegative val="0"/>
          <c:dLbls>
            <c:numFmt formatCode="0.0%" sourceLinked="0"/>
            <c:showLegendKey val="0"/>
            <c:showVal val="1"/>
            <c:showCatName val="0"/>
            <c:showSerName val="0"/>
            <c:showPercent val="0"/>
            <c:showBubbleSize val="0"/>
            <c:showLeaderLines val="0"/>
          </c:dLbls>
          <c:cat>
            <c:strRef>
              <c:f>PTEs!$BE$87:$BJ$87</c:f>
              <c:strCache>
                <c:ptCount val="6"/>
                <c:pt idx="0">
                  <c:v>EBITDA</c:v>
                </c:pt>
                <c:pt idx="1">
                  <c:v>operating profits</c:v>
                </c:pt>
                <c:pt idx="2">
                  <c:v>p/l before tax</c:v>
                </c:pt>
                <c:pt idx="3">
                  <c:v>p/l after tax</c:v>
                </c:pt>
                <c:pt idx="4">
                  <c:v>Dividends</c:v>
                </c:pt>
                <c:pt idx="5">
                  <c:v>Retained Profit</c:v>
                </c:pt>
              </c:strCache>
            </c:strRef>
          </c:cat>
          <c:val>
            <c:numRef>
              <c:f>PTEs!$BE$89:$BJ$89</c:f>
              <c:numCache>
                <c:formatCode>0.00%</c:formatCode>
                <c:ptCount val="6"/>
                <c:pt idx="0">
                  <c:v>0.1267543874481053</c:v>
                </c:pt>
                <c:pt idx="1">
                  <c:v>5.7145884551696308E-2</c:v>
                </c:pt>
                <c:pt idx="2">
                  <c:v>9.1795705942626413E-2</c:v>
                </c:pt>
                <c:pt idx="3">
                  <c:v>8.0667724005306987E-2</c:v>
                </c:pt>
                <c:pt idx="4">
                  <c:v>6.4864005735329425E-2</c:v>
                </c:pt>
                <c:pt idx="5">
                  <c:v>1.5803718269977556E-2</c:v>
                </c:pt>
              </c:numCache>
            </c:numRef>
          </c:val>
        </c:ser>
        <c:dLbls>
          <c:showLegendKey val="0"/>
          <c:showVal val="0"/>
          <c:showCatName val="0"/>
          <c:showSerName val="0"/>
          <c:showPercent val="0"/>
          <c:showBubbleSize val="0"/>
        </c:dLbls>
        <c:gapWidth val="150"/>
        <c:axId val="187984512"/>
        <c:axId val="192951808"/>
      </c:barChart>
      <c:catAx>
        <c:axId val="187984512"/>
        <c:scaling>
          <c:orientation val="minMax"/>
        </c:scaling>
        <c:delete val="0"/>
        <c:axPos val="b"/>
        <c:majorTickMark val="none"/>
        <c:minorTickMark val="none"/>
        <c:tickLblPos val="low"/>
        <c:crossAx val="192951808"/>
        <c:crosses val="autoZero"/>
        <c:auto val="1"/>
        <c:lblAlgn val="ctr"/>
        <c:lblOffset val="100"/>
        <c:noMultiLvlLbl val="0"/>
      </c:catAx>
      <c:valAx>
        <c:axId val="192951808"/>
        <c:scaling>
          <c:orientation val="minMax"/>
          <c:max val="0.25"/>
        </c:scaling>
        <c:delete val="0"/>
        <c:axPos val="l"/>
        <c:majorGridlines/>
        <c:numFmt formatCode="0%" sourceLinked="0"/>
        <c:majorTickMark val="none"/>
        <c:minorTickMark val="none"/>
        <c:tickLblPos val="nextTo"/>
        <c:crossAx val="187984512"/>
        <c:crosses val="autoZero"/>
        <c:crossBetween val="between"/>
        <c:minorUnit val="5.000000000000001E-3"/>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PTEs!$AL$88</c:f>
              <c:strCache>
                <c:ptCount val="1"/>
                <c:pt idx="0">
                  <c:v>Previous 5</c:v>
                </c:pt>
              </c:strCache>
            </c:strRef>
          </c:tx>
          <c:invertIfNegative val="0"/>
          <c:dLbls>
            <c:numFmt formatCode="0.0%" sourceLinked="0"/>
            <c:showLegendKey val="0"/>
            <c:showVal val="1"/>
            <c:showCatName val="0"/>
            <c:showSerName val="0"/>
            <c:showPercent val="0"/>
            <c:showBubbleSize val="0"/>
            <c:showLeaderLines val="0"/>
          </c:dLbls>
          <c:cat>
            <c:strRef>
              <c:f>PTEs!$BK$87:$BP$87</c:f>
              <c:strCache>
                <c:ptCount val="6"/>
                <c:pt idx="0">
                  <c:v>EBITDA</c:v>
                </c:pt>
                <c:pt idx="1">
                  <c:v>operating profits</c:v>
                </c:pt>
                <c:pt idx="2">
                  <c:v>p/l before tax</c:v>
                </c:pt>
                <c:pt idx="3">
                  <c:v>p/l after tax</c:v>
                </c:pt>
                <c:pt idx="4">
                  <c:v>Dividends</c:v>
                </c:pt>
                <c:pt idx="5">
                  <c:v>Retained profit</c:v>
                </c:pt>
              </c:strCache>
            </c:strRef>
          </c:cat>
          <c:val>
            <c:numRef>
              <c:f>PTEs!$BK$88:$BP$88</c:f>
              <c:numCache>
                <c:formatCode>0.00%</c:formatCode>
                <c:ptCount val="6"/>
                <c:pt idx="0">
                  <c:v>0.12462144227963728</c:v>
                </c:pt>
                <c:pt idx="1">
                  <c:v>7.1122148599733648E-2</c:v>
                </c:pt>
                <c:pt idx="2">
                  <c:v>0.10806649327238534</c:v>
                </c:pt>
                <c:pt idx="3">
                  <c:v>8.7340066886153908E-2</c:v>
                </c:pt>
                <c:pt idx="4">
                  <c:v>0.10977764638929359</c:v>
                </c:pt>
                <c:pt idx="5">
                  <c:v>-2.2437579503139682E-2</c:v>
                </c:pt>
              </c:numCache>
            </c:numRef>
          </c:val>
        </c:ser>
        <c:ser>
          <c:idx val="1"/>
          <c:order val="1"/>
          <c:tx>
            <c:strRef>
              <c:f>PTEs!$AL$89</c:f>
              <c:strCache>
                <c:ptCount val="1"/>
                <c:pt idx="0">
                  <c:v>Last 5</c:v>
                </c:pt>
              </c:strCache>
            </c:strRef>
          </c:tx>
          <c:invertIfNegative val="0"/>
          <c:dLbls>
            <c:numFmt formatCode="0.0%" sourceLinked="0"/>
            <c:showLegendKey val="0"/>
            <c:showVal val="1"/>
            <c:showCatName val="0"/>
            <c:showSerName val="0"/>
            <c:showPercent val="0"/>
            <c:showBubbleSize val="0"/>
            <c:showLeaderLines val="0"/>
          </c:dLbls>
          <c:cat>
            <c:strRef>
              <c:f>PTEs!$BK$87:$BP$87</c:f>
              <c:strCache>
                <c:ptCount val="6"/>
                <c:pt idx="0">
                  <c:v>EBITDA</c:v>
                </c:pt>
                <c:pt idx="1">
                  <c:v>operating profits</c:v>
                </c:pt>
                <c:pt idx="2">
                  <c:v>p/l before tax</c:v>
                </c:pt>
                <c:pt idx="3">
                  <c:v>p/l after tax</c:v>
                </c:pt>
                <c:pt idx="4">
                  <c:v>Dividends</c:v>
                </c:pt>
                <c:pt idx="5">
                  <c:v>Retained profit</c:v>
                </c:pt>
              </c:strCache>
            </c:strRef>
          </c:cat>
          <c:val>
            <c:numRef>
              <c:f>PTEs!$BK$89:$BP$89</c:f>
              <c:numCache>
                <c:formatCode>0.00%</c:formatCode>
                <c:ptCount val="6"/>
                <c:pt idx="0">
                  <c:v>0.17785589551079781</c:v>
                </c:pt>
                <c:pt idx="1">
                  <c:v>0.11614802131907011</c:v>
                </c:pt>
                <c:pt idx="2">
                  <c:v>0.13081681433696102</c:v>
                </c:pt>
                <c:pt idx="3">
                  <c:v>0.10153226081389755</c:v>
                </c:pt>
                <c:pt idx="4">
                  <c:v>7.0693097060862381E-2</c:v>
                </c:pt>
                <c:pt idx="5">
                  <c:v>3.0839163753035165E-2</c:v>
                </c:pt>
              </c:numCache>
            </c:numRef>
          </c:val>
        </c:ser>
        <c:dLbls>
          <c:showLegendKey val="0"/>
          <c:showVal val="0"/>
          <c:showCatName val="0"/>
          <c:showSerName val="0"/>
          <c:showPercent val="0"/>
          <c:showBubbleSize val="0"/>
        </c:dLbls>
        <c:gapWidth val="150"/>
        <c:axId val="241290624"/>
        <c:axId val="241293184"/>
      </c:barChart>
      <c:catAx>
        <c:axId val="241290624"/>
        <c:scaling>
          <c:orientation val="minMax"/>
        </c:scaling>
        <c:delete val="0"/>
        <c:axPos val="b"/>
        <c:majorTickMark val="none"/>
        <c:minorTickMark val="none"/>
        <c:tickLblPos val="low"/>
        <c:crossAx val="241293184"/>
        <c:crosses val="autoZero"/>
        <c:auto val="1"/>
        <c:lblAlgn val="ctr"/>
        <c:lblOffset val="100"/>
        <c:noMultiLvlLbl val="0"/>
      </c:catAx>
      <c:valAx>
        <c:axId val="241293184"/>
        <c:scaling>
          <c:orientation val="minMax"/>
        </c:scaling>
        <c:delete val="0"/>
        <c:axPos val="l"/>
        <c:majorGridlines/>
        <c:numFmt formatCode="0%" sourceLinked="0"/>
        <c:majorTickMark val="none"/>
        <c:minorTickMark val="none"/>
        <c:tickLblPos val="nextTo"/>
        <c:crossAx val="2412906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PTEs!$AL$88</c:f>
              <c:strCache>
                <c:ptCount val="1"/>
                <c:pt idx="0">
                  <c:v>Previous 5</c:v>
                </c:pt>
              </c:strCache>
            </c:strRef>
          </c:tx>
          <c:invertIfNegative val="0"/>
          <c:dLbls>
            <c:numFmt formatCode="0.0%" sourceLinked="0"/>
            <c:showLegendKey val="0"/>
            <c:showVal val="1"/>
            <c:showCatName val="0"/>
            <c:showSerName val="0"/>
            <c:showPercent val="0"/>
            <c:showBubbleSize val="0"/>
            <c:showLeaderLines val="0"/>
          </c:dLbls>
          <c:cat>
            <c:strRef>
              <c:f>PTEs!$BQ$87:$BV$87</c:f>
              <c:strCache>
                <c:ptCount val="6"/>
                <c:pt idx="0">
                  <c:v>EBITDA</c:v>
                </c:pt>
                <c:pt idx="1">
                  <c:v>operating profits</c:v>
                </c:pt>
                <c:pt idx="2">
                  <c:v>p/l before tax</c:v>
                </c:pt>
                <c:pt idx="3">
                  <c:v>p/l after tax</c:v>
                </c:pt>
                <c:pt idx="4">
                  <c:v>Dividends</c:v>
                </c:pt>
                <c:pt idx="5">
                  <c:v>Retained profit</c:v>
                </c:pt>
              </c:strCache>
            </c:strRef>
          </c:cat>
          <c:val>
            <c:numRef>
              <c:f>PTEs!$BQ$88:$BV$88</c:f>
              <c:numCache>
                <c:formatCode>0.00%</c:formatCode>
                <c:ptCount val="6"/>
                <c:pt idx="0">
                  <c:v>0.16405245594520226</c:v>
                </c:pt>
                <c:pt idx="1">
                  <c:v>9.724840466014871E-2</c:v>
                </c:pt>
                <c:pt idx="2">
                  <c:v>0.14257705886373648</c:v>
                </c:pt>
                <c:pt idx="3">
                  <c:v>0.10209706691645688</c:v>
                </c:pt>
                <c:pt idx="4">
                  <c:v>9.3214682981090105E-2</c:v>
                </c:pt>
                <c:pt idx="5">
                  <c:v>8.8823839353667812E-3</c:v>
                </c:pt>
              </c:numCache>
            </c:numRef>
          </c:val>
        </c:ser>
        <c:ser>
          <c:idx val="1"/>
          <c:order val="1"/>
          <c:tx>
            <c:strRef>
              <c:f>PTEs!$AL$89</c:f>
              <c:strCache>
                <c:ptCount val="1"/>
                <c:pt idx="0">
                  <c:v>Last 5</c:v>
                </c:pt>
              </c:strCache>
            </c:strRef>
          </c:tx>
          <c:invertIfNegative val="0"/>
          <c:dLbls>
            <c:numFmt formatCode="0.0%" sourceLinked="0"/>
            <c:showLegendKey val="0"/>
            <c:showVal val="1"/>
            <c:showCatName val="0"/>
            <c:showSerName val="0"/>
            <c:showPercent val="0"/>
            <c:showBubbleSize val="0"/>
            <c:showLeaderLines val="0"/>
          </c:dLbls>
          <c:cat>
            <c:strRef>
              <c:f>PTEs!$BQ$87:$BV$87</c:f>
              <c:strCache>
                <c:ptCount val="6"/>
                <c:pt idx="0">
                  <c:v>EBITDA</c:v>
                </c:pt>
                <c:pt idx="1">
                  <c:v>operating profits</c:v>
                </c:pt>
                <c:pt idx="2">
                  <c:v>p/l before tax</c:v>
                </c:pt>
                <c:pt idx="3">
                  <c:v>p/l after tax</c:v>
                </c:pt>
                <c:pt idx="4">
                  <c:v>Dividends</c:v>
                </c:pt>
                <c:pt idx="5">
                  <c:v>Retained profit</c:v>
                </c:pt>
              </c:strCache>
            </c:strRef>
          </c:cat>
          <c:val>
            <c:numRef>
              <c:f>PTEs!$BQ$89:$BV$89</c:f>
              <c:numCache>
                <c:formatCode>0.00%</c:formatCode>
                <c:ptCount val="6"/>
                <c:pt idx="0">
                  <c:v>0.18086502171471538</c:v>
                </c:pt>
                <c:pt idx="1">
                  <c:v>0.12740295859984671</c:v>
                </c:pt>
                <c:pt idx="2">
                  <c:v>0.16127125496183076</c:v>
                </c:pt>
                <c:pt idx="3">
                  <c:v>0.11973508529231719</c:v>
                </c:pt>
                <c:pt idx="4">
                  <c:v>8.2781202445511376E-2</c:v>
                </c:pt>
                <c:pt idx="5">
                  <c:v>3.6954059278039943E-2</c:v>
                </c:pt>
              </c:numCache>
            </c:numRef>
          </c:val>
        </c:ser>
        <c:dLbls>
          <c:showLegendKey val="0"/>
          <c:showVal val="0"/>
          <c:showCatName val="0"/>
          <c:showSerName val="0"/>
          <c:showPercent val="0"/>
          <c:showBubbleSize val="0"/>
        </c:dLbls>
        <c:gapWidth val="150"/>
        <c:axId val="221451008"/>
        <c:axId val="221452928"/>
      </c:barChart>
      <c:catAx>
        <c:axId val="221451008"/>
        <c:scaling>
          <c:orientation val="minMax"/>
        </c:scaling>
        <c:delete val="0"/>
        <c:axPos val="b"/>
        <c:majorTickMark val="none"/>
        <c:minorTickMark val="none"/>
        <c:tickLblPos val="nextTo"/>
        <c:crossAx val="221452928"/>
        <c:crosses val="autoZero"/>
        <c:auto val="1"/>
        <c:lblAlgn val="ctr"/>
        <c:lblOffset val="100"/>
        <c:noMultiLvlLbl val="0"/>
      </c:catAx>
      <c:valAx>
        <c:axId val="221452928"/>
        <c:scaling>
          <c:orientation val="minMax"/>
          <c:max val="0.25"/>
        </c:scaling>
        <c:delete val="0"/>
        <c:axPos val="l"/>
        <c:majorGridlines/>
        <c:numFmt formatCode="0%" sourceLinked="0"/>
        <c:majorTickMark val="none"/>
        <c:minorTickMark val="none"/>
        <c:tickLblPos val="nextTo"/>
        <c:crossAx val="22145100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London!$DW$28</c:f>
              <c:strCache>
                <c:ptCount val="1"/>
                <c:pt idx="0">
                  <c:v>Previous 5</c:v>
                </c:pt>
              </c:strCache>
            </c:strRef>
          </c:tx>
          <c:invertIfNegative val="0"/>
          <c:dLbls>
            <c:dLbl>
              <c:idx val="0"/>
              <c:layout>
                <c:manualLayout>
                  <c:x val="0"/>
                  <c:y val="-5.0056882821387941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London!$DX$27:$EC$27</c:f>
              <c:strCache>
                <c:ptCount val="6"/>
                <c:pt idx="0">
                  <c:v>EBITA</c:v>
                </c:pt>
                <c:pt idx="1">
                  <c:v>operating profits</c:v>
                </c:pt>
                <c:pt idx="2">
                  <c:v>p/l before tax</c:v>
                </c:pt>
                <c:pt idx="3">
                  <c:v>p/l after tax</c:v>
                </c:pt>
                <c:pt idx="4">
                  <c:v>Dividends</c:v>
                </c:pt>
                <c:pt idx="5">
                  <c:v>Retained profit</c:v>
                </c:pt>
              </c:strCache>
            </c:strRef>
          </c:cat>
          <c:val>
            <c:numRef>
              <c:f>London!$DX$28:$EC$28</c:f>
              <c:numCache>
                <c:formatCode>0.00%</c:formatCode>
                <c:ptCount val="6"/>
                <c:pt idx="0">
                  <c:v>7.6916733498705356E-2</c:v>
                </c:pt>
                <c:pt idx="1">
                  <c:v>3.9233516169434594E-2</c:v>
                </c:pt>
                <c:pt idx="2">
                  <c:v>7.1713644009881436E-2</c:v>
                </c:pt>
                <c:pt idx="3">
                  <c:v>6.2596372140555662E-2</c:v>
                </c:pt>
                <c:pt idx="4">
                  <c:v>4.253793162447151E-2</c:v>
                </c:pt>
                <c:pt idx="5">
                  <c:v>4.309122671250604E-3</c:v>
                </c:pt>
              </c:numCache>
            </c:numRef>
          </c:val>
        </c:ser>
        <c:ser>
          <c:idx val="1"/>
          <c:order val="1"/>
          <c:tx>
            <c:strRef>
              <c:f>London!$DW$29</c:f>
              <c:strCache>
                <c:ptCount val="1"/>
                <c:pt idx="0">
                  <c:v>Last 5</c:v>
                </c:pt>
              </c:strCache>
            </c:strRef>
          </c:tx>
          <c:invertIfNegative val="0"/>
          <c:dLbls>
            <c:dLbl>
              <c:idx val="0"/>
              <c:layout>
                <c:manualLayout>
                  <c:x val="0"/>
                  <c:y val="-1.8518518518518517E-2"/>
                </c:manualLayout>
              </c:layout>
              <c:showLegendKey val="0"/>
              <c:showVal val="1"/>
              <c:showCatName val="0"/>
              <c:showSerName val="0"/>
              <c:showPercent val="0"/>
              <c:showBubbleSize val="0"/>
            </c:dLbl>
            <c:dLbl>
              <c:idx val="1"/>
              <c:layout>
                <c:manualLayout>
                  <c:x val="0"/>
                  <c:y val="-2.7777777777777776E-2"/>
                </c:manualLayout>
              </c:layout>
              <c:showLegendKey val="0"/>
              <c:showVal val="1"/>
              <c:showCatName val="0"/>
              <c:showSerName val="0"/>
              <c:showPercent val="0"/>
              <c:showBubbleSize val="0"/>
            </c:dLbl>
            <c:dLbl>
              <c:idx val="5"/>
              <c:layout>
                <c:manualLayout>
                  <c:x val="0"/>
                  <c:y val="-3.7037037037037035E-2"/>
                </c:manualLayout>
              </c:layout>
              <c:showLegendKey val="0"/>
              <c:showVal val="1"/>
              <c:showCatName val="0"/>
              <c:showSerName val="0"/>
              <c:showPercent val="0"/>
              <c:showBubbleSize val="0"/>
            </c:dLbl>
            <c:numFmt formatCode="0.0%" sourceLinked="0"/>
            <c:showLegendKey val="0"/>
            <c:showVal val="1"/>
            <c:showCatName val="0"/>
            <c:showSerName val="0"/>
            <c:showPercent val="0"/>
            <c:showBubbleSize val="0"/>
            <c:showLeaderLines val="0"/>
          </c:dLbls>
          <c:cat>
            <c:strRef>
              <c:f>London!$DX$27:$EC$27</c:f>
              <c:strCache>
                <c:ptCount val="6"/>
                <c:pt idx="0">
                  <c:v>EBITA</c:v>
                </c:pt>
                <c:pt idx="1">
                  <c:v>operating profits</c:v>
                </c:pt>
                <c:pt idx="2">
                  <c:v>p/l before tax</c:v>
                </c:pt>
                <c:pt idx="3">
                  <c:v>p/l after tax</c:v>
                </c:pt>
                <c:pt idx="4">
                  <c:v>Dividends</c:v>
                </c:pt>
                <c:pt idx="5">
                  <c:v>Retained profit</c:v>
                </c:pt>
              </c:strCache>
            </c:strRef>
          </c:cat>
          <c:val>
            <c:numRef>
              <c:f>London!$DX$29:$EC$29</c:f>
              <c:numCache>
                <c:formatCode>0.00%</c:formatCode>
                <c:ptCount val="6"/>
                <c:pt idx="0">
                  <c:v>7.1981367366331289E-2</c:v>
                </c:pt>
                <c:pt idx="1">
                  <c:v>3.6427067404405294E-2</c:v>
                </c:pt>
                <c:pt idx="2">
                  <c:v>3.2860023719777365E-2</c:v>
                </c:pt>
                <c:pt idx="3">
                  <c:v>2.3920094839319523E-2</c:v>
                </c:pt>
                <c:pt idx="4">
                  <c:v>2.3108007053761429E-2</c:v>
                </c:pt>
                <c:pt idx="5">
                  <c:v>8.1208778555809239E-4</c:v>
                </c:pt>
              </c:numCache>
            </c:numRef>
          </c:val>
        </c:ser>
        <c:dLbls>
          <c:showLegendKey val="0"/>
          <c:showVal val="0"/>
          <c:showCatName val="0"/>
          <c:showSerName val="0"/>
          <c:showPercent val="0"/>
          <c:showBubbleSize val="0"/>
        </c:dLbls>
        <c:gapWidth val="150"/>
        <c:axId val="213467520"/>
        <c:axId val="213469056"/>
      </c:barChart>
      <c:catAx>
        <c:axId val="213467520"/>
        <c:scaling>
          <c:orientation val="minMax"/>
        </c:scaling>
        <c:delete val="0"/>
        <c:axPos val="b"/>
        <c:majorTickMark val="none"/>
        <c:minorTickMark val="none"/>
        <c:tickLblPos val="nextTo"/>
        <c:crossAx val="213469056"/>
        <c:crosses val="autoZero"/>
        <c:auto val="1"/>
        <c:lblAlgn val="ctr"/>
        <c:lblOffset val="100"/>
        <c:noMultiLvlLbl val="0"/>
      </c:catAx>
      <c:valAx>
        <c:axId val="213469056"/>
        <c:scaling>
          <c:orientation val="minMax"/>
          <c:max val="0.25"/>
        </c:scaling>
        <c:delete val="0"/>
        <c:axPos val="l"/>
        <c:majorGridlines/>
        <c:numFmt formatCode="0%" sourceLinked="0"/>
        <c:majorTickMark val="none"/>
        <c:minorTickMark val="none"/>
        <c:tickLblPos val="nextTo"/>
        <c:crossAx val="21346752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pteg Report Template</Template>
  <TotalTime>16</TotalTime>
  <Pages>18</Pages>
  <Words>3861</Words>
  <Characters>19790</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Pteg Report Template</vt:lpstr>
    </vt:vector>
  </TitlesOfParts>
  <Company>CTS Creative Template Solutions Ltd</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dc:title>
  <dc:creator>Tom Ellerton</dc:creator>
  <dc:description>Template by CTS CreativeTemplateSolutions Ltd</dc:description>
  <cp:lastModifiedBy>Tom Ellerton</cp:lastModifiedBy>
  <cp:revision>2</cp:revision>
  <dcterms:created xsi:type="dcterms:W3CDTF">2014-10-10T11:06:00Z</dcterms:created>
  <dcterms:modified xsi:type="dcterms:W3CDTF">2014-10-10T11:23:00Z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Date">
    <vt:lpwstr>16 February 2010</vt:lpwstr>
  </property>
</Properties>
</file>